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6DCD0C9F"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224590">
        <w:rPr>
          <w:rFonts w:ascii="Verdana" w:hAnsi="Verdana"/>
          <w:b/>
          <w:sz w:val="24"/>
          <w:szCs w:val="24"/>
        </w:rPr>
        <w:t>8 Pin Relay, Unwired</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224590">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224590">
        <w:rPr>
          <w:rFonts w:ascii="Verdana" w:hAnsi="Verdana"/>
          <w:sz w:val="20"/>
          <w:szCs w:val="20"/>
        </w:rPr>
        <w:t>4</w:t>
      </w:r>
      <w:r w:rsidR="00CF7AA0">
        <w:rPr>
          <w:rFonts w:ascii="Verdana" w:hAnsi="Verdana"/>
          <w:sz w:val="20"/>
          <w:szCs w:val="20"/>
        </w:rPr>
        <w:fldChar w:fldCharType="end"/>
      </w:r>
    </w:p>
    <w:p w14:paraId="5739DA1C" w14:textId="49141C09"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224590">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224590">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224590">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16176318" w14:textId="4F39B25F" w:rsidR="00224590" w:rsidRPr="00224590" w:rsidRDefault="00224590" w:rsidP="00224590">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224590">
        <w:rPr>
          <w:rFonts w:ascii="Verdana" w:hAnsi="Verdana"/>
          <w:sz w:val="20"/>
          <w:szCs w:val="20"/>
        </w:rPr>
        <w:t>dentify the components of a standard eight-pin relay.</w:t>
      </w:r>
    </w:p>
    <w:p w14:paraId="1A4158C7" w14:textId="73FCE077" w:rsidR="00224590" w:rsidRPr="00224590" w:rsidRDefault="00224590" w:rsidP="00224590">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224590">
        <w:rPr>
          <w:rFonts w:ascii="Verdana" w:hAnsi="Verdana"/>
          <w:sz w:val="20"/>
          <w:szCs w:val="20"/>
        </w:rPr>
        <w:t>ontrast the difference between “normally-open” contacts and “normally-closed” contacts.</w:t>
      </w:r>
    </w:p>
    <w:p w14:paraId="57F78197" w14:textId="25A9C3E9" w:rsidR="00224590" w:rsidRPr="00224590" w:rsidRDefault="00224590" w:rsidP="00224590">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224590">
        <w:rPr>
          <w:rFonts w:ascii="Verdana" w:hAnsi="Verdana"/>
          <w:sz w:val="20"/>
          <w:szCs w:val="20"/>
        </w:rPr>
        <w:t>ompare resistance measures between “normally-open” and “normally-closed” contacts.</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77B6D485" w14:textId="5F704B36"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224590">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224590">
        <w:rPr>
          <w:rFonts w:ascii="Verdana" w:hAnsi="Verdana"/>
          <w:sz w:val="20"/>
          <w:szCs w:val="20"/>
        </w:rPr>
        <w:t>instructor evaluation</w:t>
      </w:r>
      <w:r w:rsidRPr="005915F6">
        <w:rPr>
          <w:rFonts w:ascii="Verdana" w:hAnsi="Verdana"/>
          <w:sz w:val="20"/>
          <w:szCs w:val="20"/>
        </w:rPr>
        <w:t>.</w:t>
      </w:r>
    </w:p>
    <w:p w14:paraId="49868C02" w14:textId="753494C2" w:rsidR="001C2E27" w:rsidRDefault="000E7572"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240"/>
        <w:gridCol w:w="4045"/>
        <w:gridCol w:w="1445"/>
      </w:tblGrid>
      <w:tr w:rsidR="000E7572" w:rsidRPr="000E7572" w14:paraId="4BE7599C" w14:textId="77777777" w:rsidTr="000E757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E00B333" w14:textId="77777777" w:rsidR="000E7572" w:rsidRPr="000E7572" w:rsidRDefault="000E7572" w:rsidP="000E7572">
            <w:pPr>
              <w:spacing w:after="0" w:line="240" w:lineRule="auto"/>
              <w:jc w:val="center"/>
              <w:rPr>
                <w:rFonts w:ascii="Verdana" w:eastAsia="Times New Roman" w:hAnsi="Verdana" w:cs="Calibri"/>
                <w:color w:val="000000"/>
                <w:sz w:val="20"/>
                <w:szCs w:val="20"/>
              </w:rPr>
            </w:pPr>
            <w:r w:rsidRPr="000E7572">
              <w:rPr>
                <w:rFonts w:ascii="Verdana" w:eastAsia="Times New Roman" w:hAnsi="Verdana" w:cs="Calibri"/>
                <w:color w:val="000000"/>
                <w:sz w:val="20"/>
                <w:szCs w:val="20"/>
              </w:rPr>
              <w:t>Outputs</w:t>
            </w:r>
          </w:p>
        </w:tc>
      </w:tr>
      <w:tr w:rsidR="000E7572" w:rsidRPr="000E7572" w14:paraId="4AD5B2F2" w14:textId="77777777" w:rsidTr="000E7572">
        <w:trPr>
          <w:trHeight w:val="204"/>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0565845A" w14:textId="77777777" w:rsidR="000E7572" w:rsidRPr="000E7572" w:rsidRDefault="000E7572" w:rsidP="000E7572">
            <w:pPr>
              <w:spacing w:after="0" w:line="240" w:lineRule="auto"/>
              <w:rPr>
                <w:rFonts w:ascii="Verdana" w:eastAsia="Times New Roman" w:hAnsi="Verdana" w:cs="Calibri"/>
                <w:i/>
                <w:iCs/>
                <w:color w:val="000000"/>
                <w:sz w:val="16"/>
                <w:szCs w:val="16"/>
              </w:rPr>
            </w:pPr>
            <w:r w:rsidRPr="000E7572">
              <w:rPr>
                <w:rFonts w:ascii="Verdana" w:eastAsia="Times New Roman" w:hAnsi="Verdana" w:cs="Calibri"/>
                <w:i/>
                <w:iCs/>
                <w:color w:val="000000"/>
                <w:sz w:val="16"/>
                <w:szCs w:val="16"/>
              </w:rPr>
              <w:t>Device</w:t>
            </w:r>
          </w:p>
        </w:tc>
        <w:tc>
          <w:tcPr>
            <w:tcW w:w="4045" w:type="dxa"/>
            <w:tcBorders>
              <w:top w:val="nil"/>
              <w:left w:val="nil"/>
              <w:bottom w:val="single" w:sz="4" w:space="0" w:color="auto"/>
              <w:right w:val="single" w:sz="4" w:space="0" w:color="auto"/>
            </w:tcBorders>
            <w:shd w:val="clear" w:color="auto" w:fill="auto"/>
            <w:noWrap/>
            <w:vAlign w:val="bottom"/>
            <w:hideMark/>
          </w:tcPr>
          <w:p w14:paraId="22931989" w14:textId="77777777" w:rsidR="000E7572" w:rsidRPr="000E7572" w:rsidRDefault="000E7572" w:rsidP="000E7572">
            <w:pPr>
              <w:spacing w:after="0" w:line="240" w:lineRule="auto"/>
              <w:rPr>
                <w:rFonts w:ascii="Verdana" w:eastAsia="Times New Roman" w:hAnsi="Verdana" w:cs="Calibri"/>
                <w:i/>
                <w:iCs/>
                <w:color w:val="000000"/>
                <w:sz w:val="16"/>
                <w:szCs w:val="16"/>
              </w:rPr>
            </w:pPr>
            <w:r w:rsidRPr="000E7572">
              <w:rPr>
                <w:rFonts w:ascii="Verdana" w:eastAsia="Times New Roman" w:hAnsi="Verdana" w:cs="Calibri"/>
                <w:i/>
                <w:iCs/>
                <w:color w:val="000000"/>
                <w:sz w:val="16"/>
                <w:szCs w:val="16"/>
              </w:rPr>
              <w:t>Description</w:t>
            </w:r>
          </w:p>
        </w:tc>
        <w:tc>
          <w:tcPr>
            <w:tcW w:w="1445" w:type="dxa"/>
            <w:tcBorders>
              <w:top w:val="nil"/>
              <w:left w:val="nil"/>
              <w:bottom w:val="single" w:sz="4" w:space="0" w:color="auto"/>
              <w:right w:val="single" w:sz="4" w:space="0" w:color="auto"/>
            </w:tcBorders>
            <w:shd w:val="clear" w:color="auto" w:fill="auto"/>
            <w:noWrap/>
            <w:vAlign w:val="bottom"/>
            <w:hideMark/>
          </w:tcPr>
          <w:p w14:paraId="00475006" w14:textId="77777777" w:rsidR="000E7572" w:rsidRPr="000E7572" w:rsidRDefault="000E7572" w:rsidP="000E7572">
            <w:pPr>
              <w:spacing w:after="0" w:line="240" w:lineRule="auto"/>
              <w:rPr>
                <w:rFonts w:ascii="Verdana" w:eastAsia="Times New Roman" w:hAnsi="Verdana" w:cs="Calibri"/>
                <w:i/>
                <w:iCs/>
                <w:color w:val="000000"/>
                <w:sz w:val="16"/>
                <w:szCs w:val="16"/>
              </w:rPr>
            </w:pPr>
            <w:r w:rsidRPr="000E7572">
              <w:rPr>
                <w:rFonts w:ascii="Verdana" w:eastAsia="Times New Roman" w:hAnsi="Verdana" w:cs="Calibri"/>
                <w:i/>
                <w:iCs/>
                <w:color w:val="000000"/>
                <w:sz w:val="16"/>
                <w:szCs w:val="16"/>
              </w:rPr>
              <w:t>Symbol</w:t>
            </w:r>
          </w:p>
        </w:tc>
      </w:tr>
      <w:tr w:rsidR="000E7572" w:rsidRPr="000E7572" w14:paraId="63BE3C9E" w14:textId="77777777" w:rsidTr="000E7572">
        <w:trPr>
          <w:trHeight w:val="252"/>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14:paraId="033ED3AC" w14:textId="77777777" w:rsidR="000E7572" w:rsidRPr="000E7572" w:rsidRDefault="000E7572" w:rsidP="000E7572">
            <w:pPr>
              <w:spacing w:after="0" w:line="240" w:lineRule="auto"/>
              <w:rPr>
                <w:rFonts w:ascii="Verdana" w:eastAsia="Times New Roman" w:hAnsi="Verdana" w:cs="Calibri"/>
                <w:color w:val="000000"/>
                <w:sz w:val="20"/>
                <w:szCs w:val="20"/>
              </w:rPr>
            </w:pPr>
            <w:r w:rsidRPr="000E7572">
              <w:rPr>
                <w:rFonts w:ascii="Verdana" w:eastAsia="Times New Roman" w:hAnsi="Verdana" w:cs="Calibri"/>
                <w:color w:val="000000"/>
                <w:sz w:val="20"/>
                <w:szCs w:val="20"/>
              </w:rPr>
              <w:t>Eight-Pin Relay</w:t>
            </w:r>
          </w:p>
        </w:tc>
        <w:tc>
          <w:tcPr>
            <w:tcW w:w="4045" w:type="dxa"/>
            <w:tcBorders>
              <w:top w:val="nil"/>
              <w:left w:val="nil"/>
              <w:bottom w:val="single" w:sz="4" w:space="0" w:color="auto"/>
              <w:right w:val="single" w:sz="4" w:space="0" w:color="auto"/>
            </w:tcBorders>
            <w:shd w:val="clear" w:color="auto" w:fill="auto"/>
            <w:noWrap/>
            <w:vAlign w:val="bottom"/>
            <w:hideMark/>
          </w:tcPr>
          <w:p w14:paraId="1C4B229C" w14:textId="77777777" w:rsidR="000E7572" w:rsidRPr="000E7572" w:rsidRDefault="000E7572" w:rsidP="000E7572">
            <w:pPr>
              <w:spacing w:after="0" w:line="240" w:lineRule="auto"/>
              <w:rPr>
                <w:rFonts w:ascii="Verdana" w:eastAsia="Times New Roman" w:hAnsi="Verdana" w:cs="Calibri"/>
                <w:color w:val="000000"/>
                <w:sz w:val="20"/>
                <w:szCs w:val="20"/>
              </w:rPr>
            </w:pPr>
            <w:r w:rsidRPr="000E7572">
              <w:rPr>
                <w:rFonts w:ascii="Verdana" w:eastAsia="Times New Roman" w:hAnsi="Verdana" w:cs="Calibri"/>
                <w:color w:val="000000"/>
                <w:sz w:val="20"/>
                <w:szCs w:val="20"/>
              </w:rPr>
              <w:t>Control Relay</w:t>
            </w:r>
          </w:p>
        </w:tc>
        <w:tc>
          <w:tcPr>
            <w:tcW w:w="1445" w:type="dxa"/>
            <w:tcBorders>
              <w:top w:val="nil"/>
              <w:left w:val="nil"/>
              <w:bottom w:val="single" w:sz="4" w:space="0" w:color="auto"/>
              <w:right w:val="single" w:sz="4" w:space="0" w:color="auto"/>
            </w:tcBorders>
            <w:shd w:val="clear" w:color="auto" w:fill="auto"/>
            <w:noWrap/>
            <w:vAlign w:val="bottom"/>
            <w:hideMark/>
          </w:tcPr>
          <w:p w14:paraId="097B8C33" w14:textId="77777777" w:rsidR="000E7572" w:rsidRPr="000E7572" w:rsidRDefault="000E7572" w:rsidP="000E7572">
            <w:pPr>
              <w:spacing w:after="0" w:line="240" w:lineRule="auto"/>
              <w:rPr>
                <w:rFonts w:ascii="Verdana" w:eastAsia="Times New Roman" w:hAnsi="Verdana" w:cs="Calibri"/>
                <w:color w:val="000000"/>
                <w:sz w:val="20"/>
                <w:szCs w:val="20"/>
              </w:rPr>
            </w:pPr>
            <w:r w:rsidRPr="000E7572">
              <w:rPr>
                <w:rFonts w:ascii="Verdana" w:eastAsia="Times New Roman" w:hAnsi="Verdana" w:cs="Calibri"/>
                <w:color w:val="000000"/>
                <w:sz w:val="20"/>
                <w:szCs w:val="20"/>
              </w:rPr>
              <w:t>CR1</w:t>
            </w:r>
          </w:p>
        </w:tc>
      </w:tr>
    </w:tbl>
    <w:p w14:paraId="3F8FF8B8" w14:textId="7D3BCF7B" w:rsidR="003D5A8E" w:rsidRPr="005915F6" w:rsidRDefault="00A527ED" w:rsidP="00C72D46">
      <w:pPr>
        <w:spacing w:before="120" w:after="120"/>
        <w:rPr>
          <w:rFonts w:ascii="Verdana" w:hAnsi="Verdana"/>
          <w:b/>
        </w:rPr>
      </w:pPr>
      <w:r>
        <w:rPr>
          <w:rFonts w:ascii="Verdana" w:hAnsi="Verdana"/>
          <w:b/>
        </w:rPr>
        <w:t>Instructions</w:t>
      </w:r>
    </w:p>
    <w:p w14:paraId="49A595D6" w14:textId="4AD9549C" w:rsidR="00463672" w:rsidRDefault="00224590" w:rsidP="00463672">
      <w:pPr>
        <w:tabs>
          <w:tab w:val="left" w:pos="2026"/>
        </w:tabs>
        <w:spacing w:before="120" w:after="120"/>
        <w:ind w:left="360"/>
        <w:rPr>
          <w:rFonts w:ascii="Verdana" w:hAnsi="Verdana"/>
          <w:sz w:val="20"/>
          <w:szCs w:val="20"/>
        </w:rPr>
      </w:pPr>
      <w:r w:rsidRPr="00224590">
        <w:rPr>
          <w:rFonts w:ascii="Verdana" w:hAnsi="Verdana"/>
          <w:sz w:val="20"/>
          <w:szCs w:val="20"/>
        </w:rPr>
        <w:t>Examine an 8-pin relay. Notice the diagrams on the left and middle are given from the perspective of viewing the pins from the bottom of the relay. The relay base, the diagram to the right, however is a mirror image of the other two. The base diagram is from the top perspective. With an un-wired 8-pin relay inserted in the base and a multi-meter, answer the following questions</w:t>
      </w:r>
      <w:r w:rsidR="00F10191" w:rsidRPr="00F10191">
        <w:rPr>
          <w:rFonts w:ascii="Verdana" w:hAnsi="Verdana"/>
          <w:sz w:val="20"/>
          <w:szCs w:val="20"/>
        </w:rPr>
        <w:t>.</w:t>
      </w:r>
    </w:p>
    <w:p w14:paraId="164DE1B8" w14:textId="1B539BC5" w:rsidR="00DA1DDF" w:rsidRDefault="00224590" w:rsidP="00C72D46">
      <w:pPr>
        <w:spacing w:before="120" w:after="120"/>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2"/>
        <w:gridCol w:w="2761"/>
        <w:gridCol w:w="3527"/>
      </w:tblGrid>
      <w:tr w:rsidR="00224590" w:rsidRPr="006F4B06" w14:paraId="3928DF5B" w14:textId="77777777" w:rsidTr="001B3349">
        <w:trPr>
          <w:jc w:val="center"/>
        </w:trPr>
        <w:tc>
          <w:tcPr>
            <w:tcW w:w="3792" w:type="dxa"/>
            <w:vAlign w:val="center"/>
          </w:tcPr>
          <w:p w14:paraId="010E1C46" w14:textId="77777777" w:rsidR="00224590" w:rsidRPr="006F4B06" w:rsidRDefault="00224590" w:rsidP="001B3349">
            <w:pPr>
              <w:jc w:val="center"/>
              <w:rPr>
                <w:rFonts w:ascii="Verdana" w:hAnsi="Verdana"/>
                <w:sz w:val="24"/>
                <w:szCs w:val="24"/>
              </w:rPr>
            </w:pPr>
            <w:r>
              <w:rPr>
                <w:noProof/>
              </w:rPr>
              <w:drawing>
                <wp:inline distT="0" distB="0" distL="0" distR="0" wp14:anchorId="700D8434" wp14:editId="5195B4D4">
                  <wp:extent cx="1389888" cy="12344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2761" w:type="dxa"/>
            <w:vAlign w:val="center"/>
          </w:tcPr>
          <w:p w14:paraId="155F557E" w14:textId="77777777" w:rsidR="00224590" w:rsidRDefault="00224590" w:rsidP="001B3349">
            <w:pPr>
              <w:jc w:val="center"/>
              <w:rPr>
                <w:noProof/>
              </w:rPr>
            </w:pPr>
            <w:r>
              <w:rPr>
                <w:noProof/>
              </w:rPr>
              <w:drawing>
                <wp:inline distT="0" distB="0" distL="0" distR="0" wp14:anchorId="7746FF41" wp14:editId="79BB636F">
                  <wp:extent cx="1490472"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527" w:type="dxa"/>
            <w:vAlign w:val="center"/>
          </w:tcPr>
          <w:p w14:paraId="055F6EC3" w14:textId="77777777" w:rsidR="00224590" w:rsidRPr="006F4B06" w:rsidRDefault="00224590" w:rsidP="001B3349">
            <w:pPr>
              <w:jc w:val="center"/>
              <w:rPr>
                <w:rFonts w:ascii="Verdana" w:hAnsi="Verdana"/>
                <w:sz w:val="24"/>
                <w:szCs w:val="24"/>
              </w:rPr>
            </w:pPr>
            <w:r>
              <w:rPr>
                <w:noProof/>
              </w:rPr>
              <w:drawing>
                <wp:inline distT="0" distB="0" distL="0" distR="0" wp14:anchorId="24E29F39" wp14:editId="250317F7">
                  <wp:extent cx="1033272" cy="1536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07E78A49" w14:textId="33C3A071"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Which terminal pairs are considered “normally open”?</w:t>
      </w:r>
      <w:r w:rsidRPr="00224590">
        <w:rPr>
          <w:rFonts w:ascii="Verdana" w:hAnsi="Verdana"/>
          <w:sz w:val="20"/>
          <w:szCs w:val="20"/>
        </w:rPr>
        <w:tab/>
        <w:t>____</w:t>
      </w:r>
      <w:r w:rsidR="000E7572">
        <w:rPr>
          <w:rFonts w:ascii="Verdana" w:hAnsi="Verdana"/>
          <w:sz w:val="20"/>
          <w:szCs w:val="20"/>
        </w:rPr>
        <w:tab/>
      </w:r>
      <w:r w:rsidRPr="00224590">
        <w:rPr>
          <w:rFonts w:ascii="Verdana" w:hAnsi="Verdana"/>
          <w:sz w:val="20"/>
          <w:szCs w:val="20"/>
        </w:rPr>
        <w:t>____</w:t>
      </w:r>
      <w:r w:rsidRPr="00224590">
        <w:rPr>
          <w:rFonts w:ascii="Verdana" w:hAnsi="Verdana"/>
          <w:sz w:val="20"/>
          <w:szCs w:val="20"/>
        </w:rPr>
        <w:tab/>
        <w:t>____</w:t>
      </w:r>
      <w:r w:rsidR="000E7572">
        <w:rPr>
          <w:rFonts w:ascii="Verdana" w:hAnsi="Verdana"/>
          <w:sz w:val="20"/>
          <w:szCs w:val="20"/>
        </w:rPr>
        <w:tab/>
      </w:r>
      <w:r w:rsidRPr="00224590">
        <w:rPr>
          <w:rFonts w:ascii="Verdana" w:hAnsi="Verdana"/>
          <w:sz w:val="20"/>
          <w:szCs w:val="20"/>
        </w:rPr>
        <w:t>____</w:t>
      </w:r>
    </w:p>
    <w:p w14:paraId="58B0D205" w14:textId="5371B89A"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Which terminal pairs are considered “normally closed”?</w:t>
      </w:r>
      <w:r w:rsidRPr="00224590">
        <w:rPr>
          <w:rFonts w:ascii="Verdana" w:hAnsi="Verdana"/>
          <w:sz w:val="20"/>
          <w:szCs w:val="20"/>
        </w:rPr>
        <w:tab/>
        <w:t>____</w:t>
      </w:r>
      <w:r w:rsidR="000E7572">
        <w:rPr>
          <w:rFonts w:ascii="Verdana" w:hAnsi="Verdana"/>
          <w:sz w:val="20"/>
          <w:szCs w:val="20"/>
        </w:rPr>
        <w:tab/>
      </w:r>
      <w:r w:rsidRPr="00224590">
        <w:rPr>
          <w:rFonts w:ascii="Verdana" w:hAnsi="Verdana"/>
          <w:sz w:val="20"/>
          <w:szCs w:val="20"/>
        </w:rPr>
        <w:t>____</w:t>
      </w:r>
      <w:r w:rsidRPr="00224590">
        <w:rPr>
          <w:rFonts w:ascii="Verdana" w:hAnsi="Verdana"/>
          <w:sz w:val="20"/>
          <w:szCs w:val="20"/>
        </w:rPr>
        <w:tab/>
        <w:t>____</w:t>
      </w:r>
      <w:r w:rsidR="000E7572">
        <w:rPr>
          <w:rFonts w:ascii="Verdana" w:hAnsi="Verdana"/>
          <w:sz w:val="20"/>
          <w:szCs w:val="20"/>
        </w:rPr>
        <w:tab/>
      </w:r>
      <w:r w:rsidRPr="00224590">
        <w:rPr>
          <w:rFonts w:ascii="Verdana" w:hAnsi="Verdana"/>
          <w:sz w:val="20"/>
          <w:szCs w:val="20"/>
        </w:rPr>
        <w:t>____</w:t>
      </w:r>
    </w:p>
    <w:p w14:paraId="1275F48E" w14:textId="41EE6691"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 xml:space="preserve">Which terminal pair is designated for the “coil”? </w:t>
      </w:r>
      <w:r>
        <w:rPr>
          <w:rFonts w:ascii="Verdana" w:hAnsi="Verdana"/>
          <w:sz w:val="20"/>
          <w:szCs w:val="20"/>
        </w:rPr>
        <w:tab/>
      </w:r>
      <w:r>
        <w:rPr>
          <w:rFonts w:ascii="Verdana" w:hAnsi="Verdana"/>
          <w:sz w:val="20"/>
          <w:szCs w:val="20"/>
        </w:rPr>
        <w:tab/>
      </w:r>
      <w:r w:rsidR="000E7572" w:rsidRPr="00224590">
        <w:rPr>
          <w:rFonts w:ascii="Verdana" w:hAnsi="Verdana"/>
          <w:sz w:val="20"/>
          <w:szCs w:val="20"/>
        </w:rPr>
        <w:t>____</w:t>
      </w:r>
      <w:r w:rsidR="000E7572" w:rsidRPr="00224590">
        <w:rPr>
          <w:rFonts w:ascii="Verdana" w:hAnsi="Verdana"/>
          <w:sz w:val="20"/>
          <w:szCs w:val="20"/>
        </w:rPr>
        <w:tab/>
        <w:t>____</w:t>
      </w:r>
    </w:p>
    <w:p w14:paraId="5D5BD895" w14:textId="635F8A24" w:rsid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 xml:space="preserve">Which two pins are considered “common” pins? </w:t>
      </w:r>
      <w:r w:rsidRPr="00224590">
        <w:rPr>
          <w:rFonts w:ascii="Verdana" w:hAnsi="Verdana"/>
          <w:sz w:val="20"/>
          <w:szCs w:val="20"/>
        </w:rPr>
        <w:tab/>
      </w:r>
      <w:r>
        <w:rPr>
          <w:rFonts w:ascii="Verdana" w:hAnsi="Verdana"/>
          <w:sz w:val="20"/>
          <w:szCs w:val="20"/>
        </w:rPr>
        <w:tab/>
      </w:r>
      <w:r w:rsidRPr="00224590">
        <w:rPr>
          <w:rFonts w:ascii="Verdana" w:hAnsi="Verdana"/>
          <w:sz w:val="20"/>
          <w:szCs w:val="20"/>
        </w:rPr>
        <w:t>____</w:t>
      </w:r>
      <w:r w:rsidRPr="00224590">
        <w:rPr>
          <w:rFonts w:ascii="Verdana" w:hAnsi="Verdana"/>
          <w:sz w:val="20"/>
          <w:szCs w:val="20"/>
        </w:rPr>
        <w:tab/>
        <w:t>____</w:t>
      </w:r>
    </w:p>
    <w:p w14:paraId="137EEE60" w14:textId="77777777" w:rsidR="00224590" w:rsidRDefault="00224590" w:rsidP="00224590">
      <w:pPr>
        <w:tabs>
          <w:tab w:val="right" w:pos="10080"/>
        </w:tabs>
        <w:spacing w:after="0"/>
        <w:rPr>
          <w:rFonts w:ascii="Verdana" w:hAnsi="Verdana"/>
          <w:sz w:val="20"/>
          <w:szCs w:val="20"/>
        </w:rPr>
      </w:pPr>
    </w:p>
    <w:p w14:paraId="2790A944" w14:textId="77777777" w:rsidR="00224590" w:rsidRPr="00D71C66" w:rsidRDefault="00224590" w:rsidP="00224590">
      <w:pPr>
        <w:tabs>
          <w:tab w:val="right" w:pos="10080"/>
        </w:tabs>
        <w:spacing w:after="0"/>
        <w:rPr>
          <w:rFonts w:ascii="Verdana" w:hAnsi="Verdana"/>
          <w:sz w:val="20"/>
          <w:szCs w:val="20"/>
        </w:rPr>
        <w:sectPr w:rsidR="00224590" w:rsidRPr="00D71C66" w:rsidSect="00B47076">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576" w:left="1440" w:header="360" w:footer="360" w:gutter="0"/>
          <w:cols w:space="720"/>
          <w:titlePg/>
          <w:docGrid w:linePitch="360"/>
        </w:sectPr>
      </w:pPr>
    </w:p>
    <w:p w14:paraId="6D3F18B0" w14:textId="77777777" w:rsidR="00224590" w:rsidRPr="00224590" w:rsidRDefault="00224590" w:rsidP="00224590">
      <w:pPr>
        <w:spacing w:before="120" w:after="120"/>
        <w:ind w:left="360"/>
        <w:rPr>
          <w:rFonts w:ascii="Verdana" w:hAnsi="Verdana"/>
          <w:sz w:val="20"/>
          <w:szCs w:val="20"/>
        </w:rPr>
      </w:pPr>
      <w:r w:rsidRPr="00224590">
        <w:rPr>
          <w:rFonts w:ascii="Verdana" w:hAnsi="Verdana"/>
          <w:sz w:val="20"/>
          <w:szCs w:val="20"/>
        </w:rPr>
        <w:lastRenderedPageBreak/>
        <w:t>With a multi-meter, measure the resistance of the terminal pairs you answered for each of the above questions.</w:t>
      </w:r>
    </w:p>
    <w:p w14:paraId="28A2F91F"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Resistance value of the “normally open” pairs from question 1?</w:t>
      </w:r>
      <w:r w:rsidRPr="00224590">
        <w:rPr>
          <w:rFonts w:ascii="Verdana" w:hAnsi="Verdana"/>
          <w:sz w:val="20"/>
          <w:szCs w:val="20"/>
        </w:rPr>
        <w:tab/>
        <w:t>______</w:t>
      </w:r>
      <w:r w:rsidRPr="00224590">
        <w:rPr>
          <w:rFonts w:ascii="Verdana" w:hAnsi="Verdana"/>
          <w:sz w:val="20"/>
          <w:szCs w:val="20"/>
        </w:rPr>
        <w:tab/>
        <w:t>_____</w:t>
      </w:r>
    </w:p>
    <w:p w14:paraId="034E1CB6"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Resistance value of the “normally closed” pairs from question 2? ______</w:t>
      </w:r>
      <w:r w:rsidRPr="00224590">
        <w:rPr>
          <w:rFonts w:ascii="Verdana" w:hAnsi="Verdana"/>
          <w:sz w:val="20"/>
          <w:szCs w:val="20"/>
        </w:rPr>
        <w:tab/>
        <w:t>_____</w:t>
      </w:r>
    </w:p>
    <w:p w14:paraId="66B03015" w14:textId="77777777" w:rsidR="00224590" w:rsidRPr="00224590" w:rsidRDefault="00224590" w:rsidP="00224590">
      <w:pPr>
        <w:pStyle w:val="ListParagraph"/>
        <w:numPr>
          <w:ilvl w:val="0"/>
          <w:numId w:val="28"/>
        </w:numPr>
        <w:spacing w:before="240" w:after="120"/>
        <w:contextualSpacing w:val="0"/>
        <w:rPr>
          <w:rFonts w:ascii="Verdana" w:hAnsi="Verdana"/>
          <w:sz w:val="20"/>
          <w:szCs w:val="20"/>
        </w:rPr>
      </w:pPr>
      <w:r w:rsidRPr="00224590">
        <w:rPr>
          <w:rFonts w:ascii="Verdana" w:hAnsi="Verdana"/>
          <w:sz w:val="20"/>
          <w:szCs w:val="20"/>
        </w:rPr>
        <w:t>Resistance value of the “coil” pair from question 3? __________</w:t>
      </w:r>
    </w:p>
    <w:p w14:paraId="103177CA"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Resistance value between the two “common” pins from question 4? __________</w:t>
      </w:r>
    </w:p>
    <w:p w14:paraId="54CD48EA"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The relay is a 24VDC relay.  What does that indicate?</w:t>
      </w:r>
    </w:p>
    <w:p w14:paraId="62730C40"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Is it possible to connect the contacts of this relay to an AC source or a different DC voltage?</w:t>
      </w:r>
    </w:p>
    <w:p w14:paraId="72A9EBE2"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Is there a limit to the amperage that this relay can handle?  If so, what is the limit?</w:t>
      </w:r>
    </w:p>
    <w:p w14:paraId="7BCB27DF"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Viewing the pinout of the 8-pin relay, what is the relationship between pins 1,3,4 and pins 5,6,8?</w:t>
      </w:r>
    </w:p>
    <w:p w14:paraId="3BC59012"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Is it possible to have pins 1,3,4 at one source and potential and have pins 5,6,8 on a different source and/or potential?  If so, why?</w:t>
      </w:r>
    </w:p>
    <w:p w14:paraId="2534D855"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Place the leads of a multimeter to measure continuity across pins 1 and 3 of the relay.  Press the greenish blue button on the front of the relay. What is the result?</w:t>
      </w:r>
    </w:p>
    <w:p w14:paraId="775C0DE4" w14:textId="77777777" w:rsidR="00224590" w:rsidRPr="00224590" w:rsidRDefault="00224590" w:rsidP="00224590">
      <w:pPr>
        <w:pStyle w:val="ListParagraph"/>
        <w:numPr>
          <w:ilvl w:val="0"/>
          <w:numId w:val="28"/>
        </w:numPr>
        <w:spacing w:before="480" w:after="120"/>
        <w:contextualSpacing w:val="0"/>
        <w:rPr>
          <w:rFonts w:ascii="Verdana" w:hAnsi="Verdana"/>
          <w:sz w:val="20"/>
          <w:szCs w:val="20"/>
        </w:rPr>
      </w:pPr>
      <w:r w:rsidRPr="00224590">
        <w:rPr>
          <w:rFonts w:ascii="Verdana" w:hAnsi="Verdana"/>
          <w:sz w:val="20"/>
          <w:szCs w:val="20"/>
        </w:rPr>
        <w:t>Keep the leads of a multimeter to measure continuity across pins 1 and 3 of the relay.  Lift the manual gate on the front of the relay.  What is the result?</w:t>
      </w:r>
    </w:p>
    <w:p w14:paraId="47079ADC" w14:textId="63437EA9" w:rsidR="00CB535B" w:rsidRPr="00224590" w:rsidRDefault="00CB535B" w:rsidP="00224590">
      <w:pPr>
        <w:pStyle w:val="ListParagraph"/>
        <w:tabs>
          <w:tab w:val="left" w:pos="3600"/>
        </w:tabs>
        <w:spacing w:before="480" w:after="120"/>
        <w:contextualSpacing w:val="0"/>
        <w:rPr>
          <w:rFonts w:ascii="Verdana" w:hAnsi="Verdana"/>
          <w:sz w:val="20"/>
          <w:szCs w:val="20"/>
        </w:rPr>
      </w:pPr>
    </w:p>
    <w:sectPr w:rsidR="00CB535B" w:rsidRPr="00224590" w:rsidSect="00B47076">
      <w:headerReference w:type="first" r:id="rId16"/>
      <w:footerReference w:type="first" r:id="rId17"/>
      <w:pgSz w:w="12240" w:h="15840" w:code="1"/>
      <w:pgMar w:top="720" w:right="720" w:bottom="576"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77DCF" w14:textId="77777777" w:rsidR="00B37F48" w:rsidRDefault="00B37F48" w:rsidP="005B3A86">
      <w:pPr>
        <w:spacing w:after="0" w:line="240" w:lineRule="auto"/>
      </w:pPr>
      <w:r>
        <w:separator/>
      </w:r>
    </w:p>
  </w:endnote>
  <w:endnote w:type="continuationSeparator" w:id="0">
    <w:p w14:paraId="655FF69A" w14:textId="77777777" w:rsidR="00B37F48" w:rsidRDefault="00B37F48" w:rsidP="005B3A86">
      <w:pPr>
        <w:spacing w:after="0" w:line="240" w:lineRule="auto"/>
      </w:pPr>
      <w:r>
        <w:continuationSeparator/>
      </w:r>
    </w:p>
  </w:endnote>
  <w:endnote w:type="continuationNotice" w:id="1">
    <w:p w14:paraId="4C91F3AF" w14:textId="77777777" w:rsidR="00B37F48" w:rsidRDefault="00B37F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77777777"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77777777"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65A71" w14:textId="77777777" w:rsidR="00B47076" w:rsidRPr="007C2507" w:rsidRDefault="00B47076" w:rsidP="00B47076">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Pr>
        <w:rFonts w:ascii="BankGothic Lt BT" w:hAnsi="BankGothic Lt BT"/>
        <w:caps/>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Pr>
        <w:rFonts w:ascii="BankGothic Lt BT" w:hAnsi="BankGothic Lt BT"/>
        <w:caps/>
        <w:noProof/>
        <w:sz w:val="16"/>
        <w:szCs w:val="18"/>
      </w:rPr>
      <w:drawing>
        <wp:inline distT="0" distB="0" distL="0" distR="0" wp14:anchorId="35487ABE" wp14:editId="38998EC2">
          <wp:extent cx="457200" cy="100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ve_Commons_Symbol.png"/>
                  <pic:cNvPicPr/>
                </pic:nvPicPr>
                <pic:blipFill>
                  <a:blip r:embed="rId1">
                    <a:extLst>
                      <a:ext uri="{28A0092B-C50C-407E-A947-70E740481C1C}">
                        <a14:useLocalDpi xmlns:a14="http://schemas.microsoft.com/office/drawing/2010/main" val="0"/>
                      </a:ext>
                    </a:extLst>
                  </a:blip>
                  <a:stretch>
                    <a:fillRect/>
                  </a:stretch>
                </pic:blipFill>
                <pic:spPr>
                  <a:xfrm>
                    <a:off x="0" y="0"/>
                    <a:ext cx="457200" cy="100584"/>
                  </a:xfrm>
                  <a:prstGeom prst="rect">
                    <a:avLst/>
                  </a:prstGeom>
                </pic:spPr>
              </pic:pic>
            </a:graphicData>
          </a:graphic>
        </wp:inline>
      </w:drawing>
    </w:r>
    <w:r>
      <w:rPr>
        <w:rFonts w:ascii="BankGothic Lt BT" w:hAnsi="BankGothic Lt BT"/>
        <w:caps/>
        <w:sz w:val="16"/>
        <w:szCs w:val="18"/>
      </w:rPr>
      <w:t xml:space="preserve"> matthew leigh</w:t>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2</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7CA83" w14:textId="77777777" w:rsidR="00B47076" w:rsidRPr="005D621A" w:rsidRDefault="00B47076" w:rsidP="00B47076">
    <w:pPr>
      <w:pStyle w:val="Footer"/>
      <w:pBdr>
        <w:top w:val="single" w:sz="4" w:space="1" w:color="auto"/>
      </w:pBdr>
      <w:tabs>
        <w:tab w:val="clear" w:pos="9360"/>
        <w:tab w:val="right" w:pos="10080"/>
      </w:tabs>
      <w:rPr>
        <w:rFonts w:ascii="BankGothic Lt BT" w:hAnsi="BankGothic Lt BT"/>
        <w:caps/>
        <w:sz w:val="16"/>
        <w:szCs w:val="18"/>
      </w:rPr>
    </w:pPr>
    <w:bookmarkStart w:id="0" w:name="_GoBack"/>
    <w:bookmarkEnd w:id="0"/>
    <w:r w:rsidRPr="005D621A">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Pr>
        <w:rFonts w:ascii="BankGothic Lt BT" w:hAnsi="BankGothic Lt BT"/>
        <w:caps/>
        <w:sz w:val="16"/>
        <w:szCs w:val="18"/>
      </w:rPr>
      <w:t>2</w:t>
    </w:r>
    <w:r>
      <w:rPr>
        <w:rFonts w:ascii="BankGothic Lt BT" w:hAnsi="BankGothic Lt BT"/>
        <w:caps/>
        <w:sz w:val="16"/>
        <w:szCs w:val="18"/>
      </w:rPr>
      <w:fldChar w:fldCharType="end"/>
    </w:r>
    <w:r>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Pr>
        <w:rFonts w:ascii="BankGothic Lt BT" w:hAnsi="BankGothic Lt BT"/>
        <w:caps/>
        <w:noProof/>
        <w:sz w:val="16"/>
        <w:szCs w:val="18"/>
      </w:rPr>
      <w:drawing>
        <wp:inline distT="0" distB="0" distL="0" distR="0" wp14:anchorId="6E30E6CB" wp14:editId="6512E677">
          <wp:extent cx="457200" cy="1005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ve_Commons_Symbol.png"/>
                  <pic:cNvPicPr/>
                </pic:nvPicPr>
                <pic:blipFill>
                  <a:blip r:embed="rId1">
                    <a:extLst>
                      <a:ext uri="{28A0092B-C50C-407E-A947-70E740481C1C}">
                        <a14:useLocalDpi xmlns:a14="http://schemas.microsoft.com/office/drawing/2010/main" val="0"/>
                      </a:ext>
                    </a:extLst>
                  </a:blip>
                  <a:stretch>
                    <a:fillRect/>
                  </a:stretch>
                </pic:blipFill>
                <pic:spPr>
                  <a:xfrm>
                    <a:off x="0" y="0"/>
                    <a:ext cx="457200" cy="100584"/>
                  </a:xfrm>
                  <a:prstGeom prst="rect">
                    <a:avLst/>
                  </a:prstGeom>
                </pic:spPr>
              </pic:pic>
            </a:graphicData>
          </a:graphic>
        </wp:inline>
      </w:drawing>
    </w:r>
    <w:r>
      <w:rPr>
        <w:rFonts w:ascii="BankGothic Lt BT" w:hAnsi="BankGothic Lt BT"/>
        <w:caps/>
        <w:sz w:val="16"/>
        <w:szCs w:val="18"/>
      </w:rPr>
      <w:t xml:space="preserve"> matthew leigh</w:t>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Pr>
        <w:rFonts w:ascii="BankGothic Lt BT" w:hAnsi="BankGothic Lt BT"/>
        <w:caps/>
        <w:sz w:val="16"/>
        <w:szCs w:val="18"/>
      </w:rPr>
      <w:t>2</w:t>
    </w:r>
    <w:r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BEFBE" w14:textId="77777777" w:rsidR="00B37F48" w:rsidRDefault="00B37F48" w:rsidP="005B3A86">
      <w:pPr>
        <w:spacing w:after="0" w:line="240" w:lineRule="auto"/>
      </w:pPr>
      <w:r>
        <w:separator/>
      </w:r>
    </w:p>
  </w:footnote>
  <w:footnote w:type="continuationSeparator" w:id="0">
    <w:p w14:paraId="26658108" w14:textId="77777777" w:rsidR="00B37F48" w:rsidRDefault="00B37F48" w:rsidP="005B3A86">
      <w:pPr>
        <w:spacing w:after="0" w:line="240" w:lineRule="auto"/>
      </w:pPr>
      <w:r>
        <w:continuationSeparator/>
      </w:r>
    </w:p>
  </w:footnote>
  <w:footnote w:type="continuationNotice" w:id="1">
    <w:p w14:paraId="57D8EEA1" w14:textId="77777777" w:rsidR="00B37F48" w:rsidRDefault="00B37F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77777777"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 xml:space="preserve">8 Pin </w:t>
    </w:r>
    <w:proofErr w:type="gramStart"/>
    <w:r>
      <w:rPr>
        <w:rFonts w:ascii="BankGothic Lt BT" w:hAnsi="BankGothic Lt BT"/>
        <w:caps/>
        <w:sz w:val="24"/>
        <w:szCs w:val="24"/>
      </w:rPr>
      <w:t>Relay</w:t>
    </w:r>
    <w:proofErr w:type="gramEnd"/>
    <w:r>
      <w:rPr>
        <w:rFonts w:ascii="BankGothic Lt BT" w:hAnsi="BankGothic Lt BT"/>
        <w:caps/>
        <w:sz w:val="24"/>
        <w:szCs w:val="24"/>
      </w:rPr>
      <w:t>, Unwired</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77777777"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77777777"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Pr>
        <w:rFonts w:ascii="BankGothic Lt BT" w:hAnsi="BankGothic Lt BT"/>
        <w:caps/>
        <w:sz w:val="24"/>
        <w:szCs w:val="24"/>
      </w:rPr>
      <w:t xml:space="preserve">8 Pin </w:t>
    </w:r>
    <w:proofErr w:type="gramStart"/>
    <w:r>
      <w:rPr>
        <w:rFonts w:ascii="BankGothic Lt BT" w:hAnsi="BankGothic Lt BT"/>
        <w:caps/>
        <w:sz w:val="24"/>
        <w:szCs w:val="24"/>
      </w:rPr>
      <w:t>Relay</w:t>
    </w:r>
    <w:proofErr w:type="gramEnd"/>
    <w:r>
      <w:rPr>
        <w:rFonts w:ascii="BankGothic Lt BT" w:hAnsi="BankGothic Lt BT"/>
        <w:caps/>
        <w:sz w:val="24"/>
        <w:szCs w:val="24"/>
      </w:rPr>
      <w:t>, Unwired</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77777777"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77777777"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4367CCCE"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224590">
      <w:rPr>
        <w:rFonts w:ascii="BankGothic Lt BT" w:hAnsi="BankGothic Lt BT"/>
        <w:caps/>
        <w:sz w:val="24"/>
        <w:szCs w:val="24"/>
      </w:rPr>
      <w:t xml:space="preserve">8 Pin </w:t>
    </w:r>
    <w:proofErr w:type="gramStart"/>
    <w:r w:rsidR="00224590">
      <w:rPr>
        <w:rFonts w:ascii="BankGothic Lt BT" w:hAnsi="BankGothic Lt BT"/>
        <w:caps/>
        <w:sz w:val="24"/>
        <w:szCs w:val="24"/>
      </w:rPr>
      <w:t>Relay</w:t>
    </w:r>
    <w:proofErr w:type="gramEnd"/>
    <w:r w:rsidR="00224590">
      <w:rPr>
        <w:rFonts w:ascii="BankGothic Lt BT" w:hAnsi="BankGothic Lt BT"/>
        <w:caps/>
        <w:sz w:val="24"/>
        <w:szCs w:val="24"/>
      </w:rPr>
      <w:t>, Unwired</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9073830" w:rsidR="000154E9" w:rsidRPr="00741B58" w:rsidRDefault="008975D5"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DocCourse  \* MERGEFORMAT </w:instrText>
    </w:r>
    <w:r w:rsidRPr="00741B58">
      <w:rPr>
        <w:rFonts w:ascii="BankGothic Lt BT" w:hAnsi="BankGothic Lt BT"/>
        <w:caps/>
        <w:sz w:val="18"/>
        <w:szCs w:val="18"/>
      </w:rPr>
      <w:fldChar w:fldCharType="separate"/>
    </w:r>
    <w:r w:rsidR="00224590">
      <w:rPr>
        <w:rFonts w:ascii="BankGothic Lt BT" w:hAnsi="BankGothic Lt BT"/>
        <w:caps/>
        <w:sz w:val="18"/>
        <w:szCs w:val="18"/>
      </w:rPr>
      <w:t>Intro to Automation</w:t>
    </w:r>
    <w:r w:rsidRPr="00741B58">
      <w:rPr>
        <w:rFonts w:ascii="BankGothic Lt BT" w:hAnsi="BankGothic Lt BT"/>
        <w:caps/>
        <w:sz w:val="18"/>
        <w:szCs w:val="18"/>
      </w:rPr>
      <w:fldChar w:fldCharType="end"/>
    </w:r>
    <w:r w:rsidR="000154E9" w:rsidRPr="00741B58">
      <w:rPr>
        <w:rFonts w:ascii="BankGothic Lt BT" w:hAnsi="BankGothic Lt BT"/>
        <w:caps/>
        <w:sz w:val="18"/>
        <w:szCs w:val="18"/>
      </w:rPr>
      <w:tab/>
    </w: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DocUnit  \* MERGEFORMAT </w:instrText>
    </w:r>
    <w:r w:rsidRPr="00741B58">
      <w:rPr>
        <w:rFonts w:ascii="BankGothic Lt BT" w:hAnsi="BankGothic Lt BT"/>
        <w:caps/>
        <w:sz w:val="18"/>
        <w:szCs w:val="18"/>
      </w:rPr>
      <w:fldChar w:fldCharType="separate"/>
    </w:r>
    <w:r w:rsidR="00224590">
      <w:rPr>
        <w:rFonts w:ascii="BankGothic Lt BT" w:hAnsi="BankGothic Lt BT"/>
        <w:caps/>
        <w:sz w:val="18"/>
        <w:szCs w:val="18"/>
      </w:rPr>
      <w:t>Manual Motor Control</w:t>
    </w:r>
    <w:r w:rsidRPr="00741B58">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3"/>
  </w:num>
  <w:num w:numId="4">
    <w:abstractNumId w:val="22"/>
  </w:num>
  <w:num w:numId="5">
    <w:abstractNumId w:val="4"/>
  </w:num>
  <w:num w:numId="6">
    <w:abstractNumId w:val="20"/>
  </w:num>
  <w:num w:numId="7">
    <w:abstractNumId w:val="24"/>
  </w:num>
  <w:num w:numId="8">
    <w:abstractNumId w:val="11"/>
  </w:num>
  <w:num w:numId="9">
    <w:abstractNumId w:val="18"/>
  </w:num>
  <w:num w:numId="10">
    <w:abstractNumId w:val="15"/>
  </w:num>
  <w:num w:numId="11">
    <w:abstractNumId w:val="19"/>
  </w:num>
  <w:num w:numId="12">
    <w:abstractNumId w:val="14"/>
  </w:num>
  <w:num w:numId="13">
    <w:abstractNumId w:val="17"/>
  </w:num>
  <w:num w:numId="14">
    <w:abstractNumId w:val="8"/>
  </w:num>
  <w:num w:numId="15">
    <w:abstractNumId w:val="12"/>
  </w:num>
  <w:num w:numId="16">
    <w:abstractNumId w:val="23"/>
  </w:num>
  <w:num w:numId="17">
    <w:abstractNumId w:val="0"/>
  </w:num>
  <w:num w:numId="18">
    <w:abstractNumId w:val="9"/>
  </w:num>
  <w:num w:numId="19">
    <w:abstractNumId w:val="16"/>
  </w:num>
  <w:num w:numId="20">
    <w:abstractNumId w:val="5"/>
  </w:num>
  <w:num w:numId="21">
    <w:abstractNumId w:val="2"/>
  </w:num>
  <w:num w:numId="22">
    <w:abstractNumId w:val="21"/>
  </w:num>
  <w:num w:numId="23">
    <w:abstractNumId w:val="26"/>
  </w:num>
  <w:num w:numId="24">
    <w:abstractNumId w:val="13"/>
  </w:num>
  <w:num w:numId="25">
    <w:abstractNumId w:val="27"/>
  </w:num>
  <w:num w:numId="26">
    <w:abstractNumId w:val="25"/>
  </w:num>
  <w:num w:numId="27">
    <w:abstractNumId w:val="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E7572"/>
    <w:rsid w:val="000F34DA"/>
    <w:rsid w:val="000F5609"/>
    <w:rsid w:val="00101028"/>
    <w:rsid w:val="00114B12"/>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6901"/>
    <w:rsid w:val="00307505"/>
    <w:rsid w:val="00325520"/>
    <w:rsid w:val="003306D9"/>
    <w:rsid w:val="00343B07"/>
    <w:rsid w:val="003474EF"/>
    <w:rsid w:val="003502B8"/>
    <w:rsid w:val="0035749A"/>
    <w:rsid w:val="00364796"/>
    <w:rsid w:val="003649A5"/>
    <w:rsid w:val="0037367C"/>
    <w:rsid w:val="00384526"/>
    <w:rsid w:val="003A1677"/>
    <w:rsid w:val="003A1CCF"/>
    <w:rsid w:val="003B6AB1"/>
    <w:rsid w:val="003C35BE"/>
    <w:rsid w:val="003D5A8E"/>
    <w:rsid w:val="003E131E"/>
    <w:rsid w:val="003E43D1"/>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517F65"/>
    <w:rsid w:val="00517F9F"/>
    <w:rsid w:val="005401EC"/>
    <w:rsid w:val="0054235F"/>
    <w:rsid w:val="005501CC"/>
    <w:rsid w:val="00561F05"/>
    <w:rsid w:val="0056211D"/>
    <w:rsid w:val="00585D29"/>
    <w:rsid w:val="00590070"/>
    <w:rsid w:val="005908F9"/>
    <w:rsid w:val="005915F6"/>
    <w:rsid w:val="005B3A86"/>
    <w:rsid w:val="005C1B67"/>
    <w:rsid w:val="005C5AB9"/>
    <w:rsid w:val="00600EAD"/>
    <w:rsid w:val="00610740"/>
    <w:rsid w:val="00613CEA"/>
    <w:rsid w:val="00613E4E"/>
    <w:rsid w:val="0063102B"/>
    <w:rsid w:val="00637252"/>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B2E7C"/>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37F48"/>
    <w:rsid w:val="00B431CB"/>
    <w:rsid w:val="00B457A7"/>
    <w:rsid w:val="00B47076"/>
    <w:rsid w:val="00B52137"/>
    <w:rsid w:val="00B546F4"/>
    <w:rsid w:val="00B61C06"/>
    <w:rsid w:val="00B65BB9"/>
    <w:rsid w:val="00B72CF8"/>
    <w:rsid w:val="00B755C0"/>
    <w:rsid w:val="00B83C86"/>
    <w:rsid w:val="00B8539F"/>
    <w:rsid w:val="00B87737"/>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0191"/>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70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12</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2018-08-30T23:53:00Z</cp:lastPrinted>
  <dcterms:created xsi:type="dcterms:W3CDTF">2018-08-30T23:50:00Z</dcterms:created>
  <dcterms:modified xsi:type="dcterms:W3CDTF">2018-09-27T02:48:00Z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8 Pin Relay, Unwired</vt:lpwstr>
  </property>
  <property fmtid="{D5CDD505-2E9C-101B-9397-08002B2CF9AE}" pid="4" name="DocNum">
    <vt:i4>4</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Electrical Technology</vt:lpwstr>
  </property>
</Properties>
</file>