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15 September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Draft</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15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Aligned with SL-EULA-0004. The two acceptance screens on first launch became one: the Software License and Subscription Agreement (SL-LICENSE-0001) was withdrawn and folded into the End User License and Subscription Agreement, which now states explicitly that on a customer-hosted install Safety Lab holds no project data, no accounts, no sign-in events and no AI requests. Section 2 now also describes the drafting correction store.</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5</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5</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8</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9</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9</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12</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A self-managed PostgreSQL database also works.</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delivered files.</w:t>
      </w:r>
      <w:r>
        <w:rPr>
          <w:rFonts w:ascii="Calibri" w:cs="Calibri" w:eastAsia="Calibri" w:hAnsi="Calibri"/>
          <w:color w:val="222222"/>
          <w:sz w:val="21"/>
          <w:szCs w:val="21"/>
        </w:rPr>
        <w:t xml:space="preserve"> The application files, the AI proxy files, the database install kit, and the desktop installers for your users’ machines. Safety Lab provides all of them.</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(run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Create your account and sign in.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Under API Keys, create a key. Name it for this purpose, for example "Safety Lab Aero proxy", so it can be rotated independently later.</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Every one should be yours: your database, your proxy. If anything shows a Safety Lab address, correct the matching setting.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lists only your own addresses.</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2.0</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