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1143000" cy="1017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17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jc w:val="center"/>
      </w:pPr>
      <w:r>
        <w:rPr>
          <w:rFonts w:ascii="Calibri" w:hAnsi="Calibri"/>
          <w:b/>
          <w:color w:val="345A8A"/>
          <w:sz w:val="36"/>
        </w:rPr>
        <w:t>Connecting Siemens Polarion to Safety Lab Aero</w:t>
      </w:r>
    </w:p>
    <w:p>
      <w:pPr>
        <w:spacing w:after="160"/>
        <w:jc w:val="center"/>
      </w:pPr>
      <w:r>
        <w:rPr>
          <w:rFonts w:ascii="Calibri" w:hAnsi="Calibri"/>
          <w:b/>
          <w:color w:val="4F81BD"/>
          <w:sz w:val="27"/>
        </w:rPr>
        <w:t>Traceability via ReqIF Round-Trip — No API Required</w:t>
      </w:r>
    </w:p>
    <w:p>
      <w:pPr>
        <w:spacing w:after="320"/>
        <w:jc w:val="center"/>
      </w:pPr>
      <w:r>
        <w:rPr>
          <w:rFonts w:ascii="Cambria" w:hAnsi="Cambria"/>
          <w:sz w:val="22"/>
        </w:rPr>
        <w:t>July 2026 · Safety Lab Aero</w:t>
      </w:r>
    </w:p>
    <w:p>
      <w:r>
        <w:rPr>
          <w:rFonts w:ascii="Calibri" w:hAnsi="Calibri"/>
          <w:b/>
          <w:color w:val="4F81BD"/>
          <w:sz w:val="28"/>
        </w:rPr>
        <w:t>Table of Contents</w:t>
      </w:r>
    </w:p>
    <w:p>
      <w:pPr>
        <w:spacing w:after="240"/>
      </w:pPr>
      <w:fldSimple w:instr="TOC \o &quot;1-2&quot; \h \z \u">
        <w:r>
          <w:t>Right-click and choose “Update Field” to build the table of contents.</w:t>
        </w:r>
      </w:fldSimple>
    </w:p>
    <w:p>
      <w:pPr>
        <w:pStyle w:val="Heading1"/>
      </w:pPr>
      <w:r>
        <w:t>What this integration does</w:t>
      </w:r>
    </w:p>
    <w:p>
      <w:r>
        <w:rPr>
          <w:i w:val="0"/>
        </w:rPr>
        <w:t>The posture in every integration is the same: failure conditions are authored and owned in Safety Lab; they are exported into the program’s requirements-management (RM) system as items; the program’s engineers assert the trace links there — in their system of record, under their signature; and Safety Lab pulls the relationship graph back. Traces then appear on the FHA rows (⛓ chips) and feed bow-tie barrier evidence at “tier 3” — derived from the program’s own trace data, not from text matching. The only manual step is the human act of tracing, which is the one step that should be manual.</w:t>
      </w:r>
    </w:p>
    <w:p>
      <w:r>
        <w:rPr>
          <w:i w:val="0"/>
        </w:rPr>
        <w:t>Polarion’s transport is the ReqIF exchange file (Polarion supports ReqIF natively for both import and export, including .reqif and zipped .reqifz packages). The loop is: export the FC package from Safety Lab → import into Polarion → trace → export from Polarion → import back into Safety Lab. It works with no network connection between the tools — suitable for restricted environments.</w:t>
      </w:r>
    </w:p>
    <w:p>
      <w:pPr>
        <w:pStyle w:val="Heading1"/>
      </w:pPr>
      <w:r>
        <w:t>Step 1 — Export the FC package from Safety Lab</w:t>
      </w:r>
    </w:p>
    <w:p>
      <w:r>
        <w:rPr>
          <w:i w:val="0"/>
        </w:rPr>
        <w:t>AC FHA page → Requirements traceability panel → “📄 Export ReqIF”. This downloads SafetyLab_AFHA_FCs_&lt;date&gt;.reqif — one “Failure Condition” object per FC (ForeignID = FC id, text, severity, flight phases) in a single specification hierarchy.</w:t>
      </w:r>
    </w:p>
    <w:p>
      <w:pPr>
        <w:pStyle w:val="Heading1"/>
      </w:pPr>
      <w:r>
        <w:t>Step 2 — Import into Polarion</w:t>
      </w:r>
    </w:p>
    <w:p>
      <w:pPr>
        <w:pStyle w:val="ListNumber"/>
      </w:pPr>
      <w:r>
        <w:t>In Polarion, expand Documents &amp; Pages in Navigation and select the space (Index) that should hold the FC document.</w:t>
      </w:r>
    </w:p>
    <w:p>
      <w:pPr>
        <w:pStyle w:val="ListNumber"/>
      </w:pPr>
      <w:r>
        <w:t>Click Create New → ReqIF Document, and choose the exported .reqif file.</w:t>
      </w:r>
    </w:p>
    <w:p>
      <w:pPr>
        <w:pStyle w:val="ListNumber"/>
      </w:pPr>
      <w:r>
        <w:t>Map the incoming “Failure Condition” object type to a Polarion work-item type (e.g. a custom Hazard type or a generic requirement type), and map the fields (ForeignID, Text, Severity, Flight Phases).</w:t>
      </w:r>
    </w:p>
    <w:p>
      <w:pPr>
        <w:pStyle w:val="ListNumber"/>
      </w:pPr>
      <w:r>
        <w:t>Finish the import — the FCs appear as work items in a new Polarion Document.</w:t>
      </w:r>
    </w:p>
    <w:p>
      <w:r>
        <w:rPr>
          <w:b/>
        </w:rPr>
        <w:t xml:space="preserve">Note — </w:t>
      </w:r>
      <w:r>
        <w:rPr>
          <w:i/>
        </w:rPr>
        <w:t>Your Polarion administrator may need to configure the ReqIF import mapping once; after that, re-imports reuse it.</w:t>
      </w:r>
    </w:p>
    <w:p>
      <w:pPr>
        <w:pStyle w:val="Heading1"/>
      </w:pPr>
      <w:r>
        <w:t>Step 3 — Trace (in Polarion — the human step)</w:t>
      </w:r>
    </w:p>
    <w:p>
      <w:r>
        <w:rPr>
          <w:i w:val="0"/>
        </w:rPr>
        <w:t>Engineers link their requirement work items to the FC work items using a link role (e.g. relates_to, or a custom “mitigates” role). Standard Polarion linking — nothing special required.</w:t>
      </w:r>
    </w:p>
    <w:p>
      <w:pPr>
        <w:pStyle w:val="Heading1"/>
      </w:pPr>
      <w:r>
        <w:t>Step 4 — Export back from Polarion</w:t>
      </w:r>
    </w:p>
    <w:p>
      <w:pPr>
        <w:pStyle w:val="ListNumber"/>
      </w:pPr>
      <w:r>
        <w:t>Open the FC Document → ReqIF Export.</w:t>
      </w:r>
    </w:p>
    <w:p>
      <w:pPr>
        <w:pStyle w:val="ListNumber"/>
      </w:pPr>
      <w:r>
        <w:t>Include the linked work items and link roles in the export configuration (this is what carries the traces).</w:t>
      </w:r>
    </w:p>
    <w:p>
      <w:pPr>
        <w:pStyle w:val="ListNumber"/>
      </w:pPr>
      <w:r>
        <w:t>Export as .reqif (if your Polarion produces .reqifz, unzip it and use the inner .reqif file).</w:t>
      </w:r>
    </w:p>
    <w:p>
      <w:pPr>
        <w:pStyle w:val="Heading1"/>
      </w:pPr>
      <w:r>
        <w:t>Step 5 — Import into Safety Lab</w:t>
      </w:r>
    </w:p>
    <w:p>
      <w:r>
        <w:rPr>
          <w:i w:val="0"/>
        </w:rPr>
        <w:t>AC FHA page → “📂 Import ReqIF” → choose the exported file. Relations touching the FC objects become ⛓ traces on the FHA rows and tier-3 evidence in bow-ties. FCs are recognized by their identifiers first and by ForeignID (the FC id) as a fallback, so the loop survives tools that rewrite identifiers. Re-imports de-duplicate by document key.</w:t>
      </w:r>
    </w:p>
    <w:p>
      <w:pPr>
        <w:pStyle w:val="Heading1"/>
      </w:pPr>
      <w:r>
        <w:t>Cadence and notes</w:t>
      </w:r>
    </w:p>
    <w:p>
      <w:pPr>
        <w:pStyle w:val="ListBullet"/>
      </w:pPr>
      <w:r>
        <w:t>When the FHA changes, export a fresh FC package; Polarion’s ReqIF re-import updates the existing document.</w:t>
      </w:r>
    </w:p>
    <w:p>
      <w:pPr>
        <w:pStyle w:val="ListBullet"/>
      </w:pPr>
      <w:r>
        <w:t>The FHA panel shows “📄 ReqIF” on exchanged FCs and the age of the last import.</w:t>
      </w:r>
    </w:p>
    <w:p>
      <w:pPr>
        <w:pStyle w:val="ListBullet"/>
      </w:pPr>
      <w:r>
        <w:t>A live Polarion REST adapter is on the Safety Lab roadmap — the ReqIF loop covers all Polarion versions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4F81B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