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LinkedIn</w:t>
      </w:r>
      <w:r>
        <w:t xml:space="preserve"> </w:t>
      </w:r>
      <w:r>
        <w:t xml:space="preserve">Post</w:t>
      </w:r>
      <w:r>
        <w:t xml:space="preserve"> </w:t>
      </w:r>
      <w:r>
        <w:t xml:space="preserve">Series</w:t>
      </w:r>
      <w:r>
        <w:t xml:space="preserve"> </w:t>
      </w:r>
      <w:r>
        <w:t xml:space="preserve">—</w:t>
      </w:r>
      <w:r>
        <w:t xml:space="preserve"> </w:t>
      </w:r>
      <w:r>
        <w:t xml:space="preserve">Safety</w:t>
      </w:r>
      <w:r>
        <w:t xml:space="preserve"> </w:t>
      </w:r>
      <w:r>
        <w:t xml:space="preserve">Lab</w:t>
      </w:r>
      <w:r>
        <w:t xml:space="preserve"> </w:t>
      </w:r>
      <w:r>
        <w:t xml:space="preserve">Aero</w:t>
      </w:r>
    </w:p>
    <w:p>
      <w:pPr>
        <w:pStyle w:val="Subtitle"/>
      </w:pPr>
      <w:r>
        <w:t xml:space="preserve">Four</w:t>
      </w:r>
      <w:r>
        <w:t xml:space="preserve"> </w:t>
      </w:r>
      <w:r>
        <w:t xml:space="preserve">founder-voice</w:t>
      </w:r>
      <w:r>
        <w:t xml:space="preserve"> </w:t>
      </w:r>
      <w:r>
        <w:t xml:space="preserve">posts</w:t>
      </w:r>
      <w:r>
        <w:t xml:space="preserve"> </w:t>
      </w:r>
      <w:r>
        <w:t xml:space="preserve">·</w:t>
      </w:r>
      <w:r>
        <w:t xml:space="preserve"> </w:t>
      </w:r>
      <w:r>
        <w:t xml:space="preserve">one</w:t>
      </w:r>
      <w:r>
        <w:t xml:space="preserve"> </w:t>
      </w:r>
      <w:r>
        <w:t xml:space="preserve">every</w:t>
      </w:r>
      <w:r>
        <w:t xml:space="preserve"> </w:t>
      </w:r>
      <w:r>
        <w:t xml:space="preserve">3–4</w:t>
      </w:r>
      <w:r>
        <w:t xml:space="preserve"> </w:t>
      </w:r>
      <w:r>
        <w:t xml:space="preserve">days</w:t>
      </w:r>
      <w:r>
        <w:t xml:space="preserve"> </w:t>
      </w:r>
      <w:r>
        <w:t xml:space="preserve">·</w:t>
      </w:r>
      <w:r>
        <w:t xml:space="preserve"> </w:t>
      </w:r>
      <w:r>
        <w:t xml:space="preserve">each</w:t>
      </w:r>
      <w:r>
        <w:t xml:space="preserve"> </w:t>
      </w:r>
      <w:r>
        <w:t xml:space="preserve">with</w:t>
      </w:r>
      <w:r>
        <w:t xml:space="preserve"> </w:t>
      </w:r>
      <w:r>
        <w:t xml:space="preserve">a</w:t>
      </w:r>
      <w:r>
        <w:t xml:space="preserve"> </w:t>
      </w:r>
      <w:r>
        <w:t xml:space="preserve">screen</w:t>
      </w:r>
      <w:r>
        <w:t xml:space="preserve"> </w:t>
      </w:r>
      <w:r>
        <w:t xml:space="preserve">recording</w:t>
      </w:r>
      <w:r>
        <w:t xml:space="preserve"> </w:t>
      </w:r>
      <w:r>
        <w:t xml:space="preserve">from</w:t>
      </w:r>
      <w:r>
        <w:t xml:space="preserve"> </w:t>
      </w:r>
      <w:r>
        <w:t xml:space="preserve">the</w:t>
      </w:r>
      <w:r>
        <w:t xml:space="preserve"> </w:t>
      </w:r>
      <w:r>
        <w:t xml:space="preserve">K350</w:t>
      </w:r>
      <w:r>
        <w:t xml:space="preserve"> </w:t>
      </w:r>
      <w:r>
        <w:t xml:space="preserve">showcase</w:t>
      </w:r>
    </w:p>
    <w:p>
      <w:pPr>
        <w:pStyle w:val="Date"/>
      </w:pPr>
      <w:r>
        <w:t xml:space="preserve">July</w:t>
      </w:r>
      <w:r>
        <w:t xml:space="preserve"> </w:t>
      </w:r>
      <w:r>
        <w:t xml:space="preserve">2026</w:t>
      </w:r>
      <w:r>
        <w:t xml:space="preserve"> </w:t>
      </w:r>
      <w:r>
        <w:t xml:space="preserve">·</w:t>
      </w:r>
      <w:r>
        <w:t xml:space="preserve"> </w:t>
      </w:r>
      <w:r>
        <w:t xml:space="preserve">drafts</w:t>
      </w:r>
      <w:r>
        <w:t xml:space="preserve"> </w:t>
      </w:r>
      <w:r>
        <w:t xml:space="preserve">for</w:t>
      </w:r>
      <w:r>
        <w:t xml:space="preserve"> </w:t>
      </w:r>
      <w:r>
        <w:t xml:space="preserve">Waqas</w:t>
      </w:r>
      <w:r>
        <w:t xml:space="preserve"> </w:t>
      </w:r>
      <w:r>
        <w:t xml:space="preserve">to</w:t>
      </w:r>
      <w:r>
        <w:t xml:space="preserve"> </w:t>
      </w:r>
      <w:r>
        <w:t xml:space="preserve">roughen</w:t>
      </w:r>
    </w:p>
    <w:p>
      <w:pPr>
        <w:pStyle w:val="Heading1"/>
      </w:pPr>
      <w:bookmarkStart w:id="20" w:name="posting-notes-read-first"/>
      <w:r>
        <w:t xml:space="preserve">Posting notes (read first)</w:t>
      </w:r>
      <w:bookmarkEnd w:id="20"/>
    </w:p>
    <w:p>
      <w:pPr>
        <w:pStyle w:val="FirstParagraph"/>
      </w:pPr>
      <w:r>
        <w:rPr>
          <w:b/>
        </w:rPr>
        <w:t xml:space="preserve">Cadence:</w:t>
      </w:r>
      <w:r>
        <w:t xml:space="preserve"> </w:t>
      </w:r>
      <w:r>
        <w:t xml:space="preserve">one post every 3–4 days, in the order below. Each builds on the last; post 1 sets the frame the other three cash in on.</w:t>
      </w:r>
    </w:p>
    <w:p>
      <w:pPr>
        <w:pStyle w:val="BodyText"/>
      </w:pPr>
      <w:r>
        <w:rPr>
          <w:b/>
        </w:rPr>
        <w:t xml:space="preserve">Format:</w:t>
      </w:r>
      <w:r>
        <w:t xml:space="preserve"> </w:t>
      </w:r>
      <w:r>
        <w:t xml:space="preserve">every post pairs with a 30–60 second screen recording from the K350 showcase (capture notes under each draft). Native LinkedIn video, no link in the post body (link in first comment — LinkedIn throttles posts with external links).</w:t>
      </w:r>
    </w:p>
    <w:p>
      <w:pPr>
        <w:pStyle w:val="BodyText"/>
      </w:pPr>
      <w:r>
        <w:rPr>
          <w:b/>
        </w:rPr>
        <w:t xml:space="preserve">Voice guardrails baked in:</w:t>
      </w:r>
      <w:r>
        <w:t xml:space="preserve"> </w:t>
      </w:r>
      <w:r>
        <w:t xml:space="preserve">everything says</w:t>
      </w:r>
      <w:r>
        <w:t xml:space="preserve"> </w:t>
      </w:r>
      <w:r>
        <w:rPr>
          <w:i/>
        </w:rPr>
        <w:t xml:space="preserve">built on the ARP4754A/4761A methodology</w:t>
      </w:r>
      <w:r>
        <w:t xml:space="preserve"> </w:t>
      </w:r>
      <w:r>
        <w:t xml:space="preserve">— nothing reads as a compliance, qualification, or approval claim. Capabilities are shown, internals are not (landing-page level of disclosure).</w:t>
      </w:r>
    </w:p>
    <w:p>
      <w:pPr>
        <w:pStyle w:val="BodyText"/>
      </w:pPr>
      <w:r>
        <w:rPr>
          <w:b/>
        </w:rPr>
        <w:t xml:space="preserve">Hashtags:</w:t>
      </w:r>
      <w:r>
        <w:t xml:space="preserve"> </w:t>
      </w:r>
      <w:r>
        <w:t xml:space="preserve">3–4 max, at the end: #SystemSafety #ARP4761A #Airworthiness plus one post-specific tag.</w:t>
      </w:r>
    </w:p>
    <w:p>
      <w:r>
        <w:pict>
          <v:rect style="width:0;height:1.5pt" o:hralign="center" o:hrstd="t" o:hr="t"/>
        </w:pict>
      </w:r>
    </w:p>
    <w:p>
      <w:pPr>
        <w:pStyle w:val="Heading1"/>
      </w:pPr>
      <w:bookmarkStart w:id="21" w:name="post-1-the-story"/>
      <w:r>
        <w:t xml:space="preserve">Post 1 — The story</w:t>
      </w:r>
      <w:bookmarkEnd w:id="21"/>
    </w:p>
    <w:p>
      <w:pPr>
        <w:pStyle w:val="FirstParagraph"/>
      </w:pPr>
      <w:r>
        <w:rPr>
          <w:b/>
        </w:rPr>
        <w:t xml:space="preserve">Video:</w:t>
      </w:r>
      <w:r>
        <w:t xml:space="preserve"> </w:t>
      </w:r>
      <w:r>
        <w:t xml:space="preserve">none, or a slow scroll of the landing page</w:t>
      </w:r>
      <w:r>
        <w:t xml:space="preserve"> </w:t>
      </w:r>
      <w:r>
        <w:t xml:space="preserve">“</w:t>
      </w:r>
      <w:r>
        <w:t xml:space="preserve">It’s not us. It’s you.</w:t>
      </w:r>
      <w:r>
        <w:t xml:space="preserve">”</w:t>
      </w:r>
      <w:r>
        <w:t xml:space="preserve"> </w:t>
      </w:r>
      <w:r>
        <w:t xml:space="preserve">section. Text carries this one.</w:t>
      </w:r>
    </w:p>
    <w:p>
      <w:r>
        <w:pict>
          <v:rect style="width:0;height:1.5pt" o:hralign="center" o:hrstd="t" o:hr="t"/>
        </w:pict>
      </w:r>
    </w:p>
    <w:p>
      <w:pPr>
        <w:pStyle w:val="FirstParagraph"/>
      </w:pPr>
      <w:r>
        <w:t xml:space="preserve">I’ve been building a safety engineering workspace for aircraft certification, and somewhere along the way the product found its principle:</w:t>
      </w:r>
    </w:p>
    <w:p>
      <w:pPr>
        <w:pStyle w:val="BodyText"/>
      </w:pPr>
      <w:r>
        <w:rPr>
          <w:b/>
        </w:rPr>
        <w:t xml:space="preserve">It’s not us. It’s you.</w:t>
      </w:r>
    </w:p>
    <w:p>
      <w:pPr>
        <w:pStyle w:val="BodyText"/>
      </w:pPr>
      <w:r>
        <w:t xml:space="preserve">Your judgment. Every hazard classification, every independence claim, every acceptance carries an engineer’s signature. The engine derives everything else from those decisions — and re-derives it when they change. Computed output never overwrites an engineer’s word. Ever.</w:t>
      </w:r>
    </w:p>
    <w:p>
      <w:pPr>
        <w:pStyle w:val="BodyText"/>
      </w:pPr>
      <w:r>
        <w:t xml:space="preserve">Your data. Analyses parse and compute in your browser. Imports never transit our servers. Nothing leaves your machine unless you send it.</w:t>
      </w:r>
    </w:p>
    <w:p>
      <w:pPr>
        <w:pStyle w:val="BodyText"/>
      </w:pPr>
      <w:r>
        <w:t xml:space="preserve">Your math. Deterministic end to end. Same project file → same fault trees, same requirements, same verdicts — on any machine. Including your DER’s. The engine even re-proves its own arithmetic against published references, on your hardware, every session, and stamps the result into the evidence package.</w:t>
      </w:r>
    </w:p>
    <w:p>
      <w:pPr>
        <w:pStyle w:val="BodyText"/>
      </w:pPr>
      <w:r>
        <w:t xml:space="preserve">Your tools. Requirements stay in Polarion, Jama, or DOORS. Architecture stays in your MBSE tool. We read them, build the safety argument on top, and report status back. No migration. No second source of truth.</w:t>
      </w:r>
    </w:p>
    <w:p>
      <w:pPr>
        <w:pStyle w:val="BodyText"/>
      </w:pPr>
      <w:r>
        <w:t xml:space="preserve">There’s no AI doing safety engineering in the loop. There’s a compiler that takes the ARP4754A/4761A way of working seriously enough to make it executable — and then gets out of the way.</w:t>
      </w:r>
    </w:p>
    <w:p>
      <w:pPr>
        <w:pStyle w:val="BodyText"/>
      </w:pPr>
      <w:r>
        <w:t xml:space="preserve">The aircraft is yours. The argument is yours. The tool just makes it impossible to lose the thread.</w:t>
      </w:r>
    </w:p>
    <w:p>
      <w:pPr>
        <w:pStyle w:val="BodyText"/>
      </w:pPr>
      <w:r>
        <w:t xml:space="preserve">More this month on what that looks like in practice. 🛩️</w:t>
      </w:r>
    </w:p>
    <w:p>
      <w:pPr>
        <w:pStyle w:val="BodyText"/>
      </w:pPr>
      <w:r>
        <w:t xml:space="preserve">#SystemSafety #ARP4761A #Airworthiness #AerospaceSoftware</w:t>
      </w:r>
    </w:p>
    <w:p>
      <w:r>
        <w:pict>
          <v:rect style="width:0;height:1.5pt" o:hralign="center" o:hrstd="t" o:hr="t"/>
        </w:pict>
      </w:r>
    </w:p>
    <w:p>
      <w:pPr>
        <w:pStyle w:val="Heading1"/>
      </w:pPr>
      <w:bookmarkStart w:id="22" w:name="post-2-the-assumption-moat"/>
      <w:r>
        <w:t xml:space="preserve">Post 2 — The assumption moat</w:t>
      </w:r>
      <w:bookmarkEnd w:id="22"/>
    </w:p>
    <w:p>
      <w:pPr>
        <w:pStyle w:val="FirstParagraph"/>
      </w:pPr>
      <w:r>
        <w:rPr>
          <w:b/>
        </w:rPr>
        <w:t xml:space="preserve">Video (45 s):</w:t>
      </w:r>
      <w:r>
        <w:t xml:space="preserve"> </w:t>
      </w:r>
      <w:r>
        <w:t xml:space="preserve">K350 open → Assumptions page showing the program register (</w:t>
      </w:r>
      <w:r>
        <w:t xml:space="preserve">“</w:t>
      </w:r>
      <w:r>
        <w:t xml:space="preserve">every claim knows what it rests on</w:t>
      </w:r>
      <w:r>
        <w:t xml:space="preserve">”</w:t>
      </w:r>
      <w:r>
        <w:t xml:space="preserve">, the load-bearing column) → change ASM-AC-001’s state to Invalidated → cut to Thread Integrity: the sweep names every exposed Catastrophic claim → restore → sweep heals. One take, no narration needed.</w:t>
      </w:r>
    </w:p>
    <w:p>
      <w:r>
        <w:pict>
          <v:rect style="width:0;height:1.5pt" o:hralign="center" o:hrstd="t" o:hr="t"/>
        </w:pict>
      </w:r>
    </w:p>
    <w:p>
      <w:pPr>
        <w:pStyle w:val="FirstParagraph"/>
      </w:pPr>
      <w:r>
        <w:t xml:space="preserve">Ask any greybeard what actually goes wrong on certification programs and you won’t hear</w:t>
      </w:r>
      <w:r>
        <w:t xml:space="preserve"> </w:t>
      </w:r>
      <w:r>
        <w:t xml:space="preserve">“</w:t>
      </w:r>
      <w:r>
        <w:t xml:space="preserve">the fault tree math was wrong.</w:t>
      </w:r>
      <w:r>
        <w:t xml:space="preserve">”</w:t>
      </w:r>
    </w:p>
    <w:p>
      <w:pPr>
        <w:pStyle w:val="BodyText"/>
      </w:pPr>
      <w:r>
        <w:t xml:space="preserve">You’ll hear:</w:t>
      </w:r>
      <w:r>
        <w:t xml:space="preserve"> </w:t>
      </w:r>
      <w:r>
        <w:rPr>
          <w:b/>
        </w:rPr>
        <w:t xml:space="preserve">an assumption quietly stopped being true, and nobody noticed what was standing on it.</w:t>
      </w:r>
    </w:p>
    <w:p>
      <w:pPr>
        <w:pStyle w:val="BodyText"/>
      </w:pPr>
      <w:r>
        <w:t xml:space="preserve">The crew-response time that a Catastrophic classification leaned on. The exposure limit a dispatch case assumed. The vendor dissimilarity a DAL reduction was predicated on. Most tools keep these in a table nobody reads after PDR.</w:t>
      </w:r>
    </w:p>
    <w:p>
      <w:pPr>
        <w:pStyle w:val="BodyText"/>
      </w:pPr>
      <w:r>
        <w:t xml:space="preserve">So we made assumptions load-bearing:</w:t>
      </w:r>
    </w:p>
    <w:p>
      <w:pPr>
        <w:pStyle w:val="BodyText"/>
      </w:pPr>
      <w:r>
        <w:t xml:space="preserve">→ Every assumption in the program — aircraft, system, or extracted — shows exactly what rests on it: hazard classifications, model substantiations, dispatch limits, signed acceptances. By name.</w:t>
      </w:r>
    </w:p>
    <w:p>
      <w:pPr>
        <w:pStyle w:val="BodyText"/>
      </w:pPr>
      <w:r>
        <w:t xml:space="preserve">→ Invalidate one, and every exposed claim is named on the spot. If a handed-off gate was standing on it, the gate reopens.</w:t>
      </w:r>
    </w:p>
    <w:p>
      <w:pPr>
        <w:pStyle w:val="BodyText"/>
      </w:pPr>
      <w:r>
        <w:t xml:space="preserve">→ And it’s honest in both directions: an assumption</w:t>
      </w:r>
      <w:r>
        <w:t xml:space="preserve"> </w:t>
      </w:r>
      <w:r>
        <w:rPr>
          <w:i/>
        </w:rPr>
        <w:t xml:space="preserve">nothing</w:t>
      </w:r>
      <w:r>
        <w:t xml:space="preserve"> </w:t>
      </w:r>
      <w:r>
        <w:t xml:space="preserve">rests on gets flagged too. Bind it or retire it — a register full of decorative assumptions is its own kind of lie.</w:t>
      </w:r>
    </w:p>
    <w:p>
      <w:pPr>
        <w:pStyle w:val="BodyText"/>
      </w:pPr>
      <w:r>
        <w:t xml:space="preserve">The clip below is live: one assumption invalidated, three Catastrophic claims named in the same second.</w:t>
      </w:r>
    </w:p>
    <w:p>
      <w:pPr>
        <w:pStyle w:val="BodyText"/>
      </w:pPr>
      <w:r>
        <w:rPr>
          <w:b/>
        </w:rPr>
        <w:t xml:space="preserve">Every claim knows what it rests on.</w:t>
      </w:r>
      <w:r>
        <w:t xml:space="preserve"> </w:t>
      </w:r>
      <w:r>
        <w:t xml:space="preserve">That’s the whole feature. It took years of scar tissue to know it needed building.</w:t>
      </w:r>
    </w:p>
    <w:p>
      <w:pPr>
        <w:pStyle w:val="BodyText"/>
      </w:pPr>
      <w:r>
        <w:t xml:space="preserve">#SystemSafety #ARP4754A #SafetyAssessment #Airworthiness</w:t>
      </w:r>
    </w:p>
    <w:p>
      <w:r>
        <w:pict>
          <v:rect style="width:0;height:1.5pt" o:hralign="center" o:hrstd="t" o:hr="t"/>
        </w:pict>
      </w:r>
    </w:p>
    <w:p>
      <w:pPr>
        <w:pStyle w:val="Heading1"/>
      </w:pPr>
      <w:bookmarkStart w:id="23" w:name="post-3-mbsa-you-can-watch"/>
      <w:r>
        <w:t xml:space="preserve">Post 3 — MBSA you can watch</w:t>
      </w:r>
      <w:bookmarkEnd w:id="23"/>
    </w:p>
    <w:p>
      <w:pPr>
        <w:pStyle w:val="FirstParagraph"/>
      </w:pPr>
      <w:r>
        <w:rPr>
          <w:b/>
        </w:rPr>
        <w:t xml:space="preserve">Video (60 s):</w:t>
      </w:r>
      <w:r>
        <w:t xml:space="preserve"> </w:t>
      </w:r>
      <w:r>
        <w:t xml:space="preserve">Cascading Effects page → click zone chip Z-CWG → cascade table walks fuel feed → both powerplants, DOWN badges →</w:t>
      </w:r>
      <w:r>
        <w:t xml:space="preserve"> </w:t>
      </w:r>
      <w:r>
        <w:t xml:space="preserve">“</w:t>
      </w:r>
      <w:r>
        <w:t xml:space="preserve">FC-05 [Catastrophic] tripped · BREACH SF-04: min 1 of [Left Powerplant, Right Powerplant] — 0 available</w:t>
      </w:r>
      <w:r>
        <w:t xml:space="preserve">”</w:t>
      </w:r>
      <w:r>
        <w:t xml:space="preserve"> </w:t>
      </w:r>
      <w:r>
        <w:t xml:space="preserve">→ the corroboration line (</w:t>
      </w:r>
      <w:r>
        <w:t xml:space="preserve">“</w:t>
      </w:r>
      <w:r>
        <w:t xml:space="preserve">clause arithmetic and compiled logic agree ✓</w:t>
      </w:r>
      <w:r>
        <w:t xml:space="preserve">”</w:t>
      </w:r>
      <w:r>
        <w:t xml:space="preserve">) → scroll to the signed zonal acceptance tied to the rotor-burst PRA.</w:t>
      </w:r>
    </w:p>
    <w:p>
      <w:r>
        <w:pict>
          <v:rect style="width:0;height:1.5pt" o:hralign="center" o:hrstd="t" o:hr="t"/>
        </w:pict>
      </w:r>
    </w:p>
    <w:p>
      <w:pPr>
        <w:pStyle w:val="FirstParagraph"/>
      </w:pPr>
      <w:r>
        <w:t xml:space="preserve">Model-based safety analysis usually lives in slideware. Here’s what it looks like when it runs.</w:t>
      </w:r>
    </w:p>
    <w:p>
      <w:pPr>
        <w:pStyle w:val="BodyText"/>
      </w:pPr>
      <w:r>
        <w:t xml:space="preserve">This is our K350 demo aircraft. One click fails zone Z-CWG — the center wing gallery where the fuel feed lines route.</w:t>
      </w:r>
    </w:p>
    <w:p>
      <w:pPr>
        <w:pStyle w:val="BodyText"/>
      </w:pPr>
      <w:r>
        <w:t xml:space="preserve">Watch what the model does with that single zonal event:</w:t>
      </w:r>
    </w:p>
    <w:p>
      <w:pPr>
        <w:pStyle w:val="BodyText"/>
      </w:pPr>
      <w:r>
        <w:t xml:space="preserve">→ The dependency graph cascades it: fuel feed lost → both powerplants down.</w:t>
      </w:r>
      <w:r>
        <w:t xml:space="preserve"> </w:t>
      </w:r>
      <w:r>
        <w:t xml:space="preserve">→ The availability model re-evaluates every rule and shows its arithmetic:</w:t>
      </w:r>
      <w:r>
        <w:t xml:space="preserve"> </w:t>
      </w:r>
      <w:r>
        <w:rPr>
          <w:i/>
        </w:rPr>
        <w:t xml:space="preserve">minimum 1 of [Left Powerplant, Right Powerplant] — 0 available.</w:t>
      </w:r>
      <w:r>
        <w:t xml:space="preserve"> </w:t>
      </w:r>
      <w:r>
        <w:t xml:space="preserve">→ FC-05, total loss of thrust, Catastrophic — tripped.</w:t>
      </w:r>
      <w:r>
        <w:t xml:space="preserve"> </w:t>
      </w:r>
      <w:r>
        <w:t xml:space="preserve">→ And a second, independent engine — the compiled model logic — evaluates the same injection and</w:t>
      </w:r>
      <w:r>
        <w:t xml:space="preserve"> </w:t>
      </w:r>
      <w:r>
        <w:rPr>
          <w:b/>
        </w:rPr>
        <w:t xml:space="preserve">must agree</w:t>
      </w:r>
      <w:r>
        <w:t xml:space="preserve"> </w:t>
      </w:r>
      <w:r>
        <w:t xml:space="preserve">with the first. Any disagreement renders as a named finding. It has never been allowed to be silent.</w:t>
      </w:r>
    </w:p>
    <w:p>
      <w:pPr>
        <w:pStyle w:val="BodyText"/>
      </w:pPr>
      <w:r>
        <w:t xml:space="preserve">Below the finding sits the part that matters for certification: the</w:t>
      </w:r>
      <w:r>
        <w:t xml:space="preserve"> </w:t>
      </w:r>
      <w:r>
        <w:rPr>
          <w:i/>
        </w:rPr>
        <w:t xml:space="preserve">signed engineering acceptance</w:t>
      </w:r>
      <w:r>
        <w:t xml:space="preserve"> </w:t>
      </w:r>
      <w:r>
        <w:t xml:space="preserve">tying this exact vulnerability to the rotor-burst particular-risk analysis that carries it, with its retention requirement. The finding and the mitigation tell one story, on one screen.</w:t>
      </w:r>
    </w:p>
    <w:p>
      <w:pPr>
        <w:pStyle w:val="BodyText"/>
      </w:pPr>
      <w:r>
        <w:t xml:space="preserve">Machine-checked fail-safe claims. No single failure — and no single</w:t>
      </w:r>
      <w:r>
        <w:t xml:space="preserve"> </w:t>
      </w:r>
      <w:r>
        <w:rPr>
          <w:i/>
        </w:rPr>
        <w:t xml:space="preserve">zonal event</w:t>
      </w:r>
      <w:r>
        <w:t xml:space="preserve"> </w:t>
      </w:r>
      <w:r>
        <w:t xml:space="preserve">— reaches a Catastrophic condition without either redundancy or a signed basis.</w:t>
      </w:r>
    </w:p>
    <w:p>
      <w:pPr>
        <w:pStyle w:val="BodyText"/>
      </w:pPr>
      <w:r>
        <w:t xml:space="preserve">Built on the ARP4761A methodology. Deterministic all the way down. Re-runnable by anyone you hand the file to.</w:t>
      </w:r>
    </w:p>
    <w:p>
      <w:pPr>
        <w:pStyle w:val="BodyText"/>
      </w:pPr>
      <w:r>
        <w:t xml:space="preserve">#MBSA #SystemSafety #ARP4761A #FaultTreeAnalysis</w:t>
      </w:r>
    </w:p>
    <w:p>
      <w:r>
        <w:pict>
          <v:rect style="width:0;height:1.5pt" o:hralign="center" o:hrstd="t" o:hr="t"/>
        </w:pict>
      </w:r>
    </w:p>
    <w:p>
      <w:pPr>
        <w:pStyle w:val="Heading1"/>
      </w:pPr>
      <w:bookmarkStart w:id="24" w:name="post-4-your-tools-stay-your-tools"/>
      <w:r>
        <w:t xml:space="preserve">Post 4 — Your tools stay your tools</w:t>
      </w:r>
      <w:bookmarkEnd w:id="24"/>
    </w:p>
    <w:p>
      <w:pPr>
        <w:pStyle w:val="FirstParagraph"/>
      </w:pPr>
      <w:r>
        <w:rPr>
          <w:b/>
        </w:rPr>
        <w:t xml:space="preserve">Video (40 s):</w:t>
      </w:r>
      <w:r>
        <w:t xml:space="preserve"> </w:t>
      </w:r>
      <w:r>
        <w:t xml:space="preserve">Polarion/Jama ReqIF export file → Safety Lab ReqIF Import page → preview (IDs, attributes, relations found) → import → re-import the same file:</w:t>
      </w:r>
      <w:r>
        <w:t xml:space="preserve"> </w:t>
      </w:r>
      <w:r>
        <w:t xml:space="preserve">“</w:t>
      </w:r>
      <w:r>
        <w:t xml:space="preserve">0 added, 0 updated, all unchanged</w:t>
      </w:r>
      <w:r>
        <w:t xml:space="preserve">”</w:t>
      </w:r>
      <w:r>
        <w:t xml:space="preserve"> </w:t>
      </w:r>
      <w:r>
        <w:t xml:space="preserve">→ change one requirement at source, re-export, re-import:</w:t>
      </w:r>
      <w:r>
        <w:t xml:space="preserve"> </w:t>
      </w:r>
      <w:r>
        <w:t xml:space="preserve">“</w:t>
      </w:r>
      <w:r>
        <w:t xml:space="preserve">1 updated</w:t>
      </w:r>
      <w:r>
        <w:t xml:space="preserve">”</w:t>
      </w:r>
      <w:r>
        <w:t xml:space="preserve"> </w:t>
      </w:r>
      <w:r>
        <w:t xml:space="preserve">with the trace intact.</w:t>
      </w:r>
    </w:p>
    <w:p>
      <w:r>
        <w:pict>
          <v:rect style="width:0;height:1.5pt" o:hralign="center" o:hrstd="t" o:hr="t"/>
        </w:pict>
      </w:r>
    </w:p>
    <w:p>
      <w:pPr>
        <w:pStyle w:val="FirstParagraph"/>
      </w:pPr>
      <w:r>
        <w:t xml:space="preserve">The fastest way to kill a safety tool adoption: tell the requirements team they have to migrate.</w:t>
      </w:r>
    </w:p>
    <w:p>
      <w:pPr>
        <w:pStyle w:val="BodyText"/>
      </w:pPr>
      <w:r>
        <w:t xml:space="preserve">So we didn’t.</w:t>
      </w:r>
    </w:p>
    <w:p>
      <w:pPr>
        <w:pStyle w:val="BodyText"/>
      </w:pPr>
      <w:r>
        <w:t xml:space="preserve">Your requirements live in Polarion, Jama, or DOORS — where they belong, owned by the people who own them. Safety Lab reads them over ReqIF (the OMG standard every major ALM speaks), builds the hazard analyses, fault trees, and V&amp;V argument on top, and keeps everything traced.</w:t>
      </w:r>
    </w:p>
    <w:p>
      <w:pPr>
        <w:pStyle w:val="BodyText"/>
      </w:pPr>
      <w:r>
        <w:t xml:space="preserve">The part that makes it a working relationship instead of a one-time import:</w:t>
      </w:r>
    </w:p>
    <w:p>
      <w:pPr>
        <w:pStyle w:val="BodyText"/>
      </w:pPr>
      <w:r>
        <w:t xml:space="preserve">→ Re-import is the sync. Rows match on their identifiers — changed requirements update in place and keep their safety traces. Unchanged rows skip.</w:t>
      </w:r>
      <w:r>
        <w:t xml:space="preserve"> </w:t>
      </w:r>
      <w:r>
        <w:t xml:space="preserve">→ Requirements deleted at source are</w:t>
      </w:r>
      <w:r>
        <w:t xml:space="preserve"> </w:t>
      </w:r>
      <w:r>
        <w:rPr>
          <w:i/>
        </w:rPr>
        <w:t xml:space="preserve">flagged, never auto-removed</w:t>
      </w:r>
      <w:r>
        <w:t xml:space="preserve"> </w:t>
      </w:r>
      <w:r>
        <w:t xml:space="preserve">— because fault trees and hazard analyses may still reference them. Your disposition, not the tool’s.</w:t>
      </w:r>
      <w:r>
        <w:t xml:space="preserve"> </w:t>
      </w:r>
      <w:r>
        <w:t xml:space="preserve">→ A requirement that changes after analyses were built on it re-flags those analyses. If its gate was already signed, the gate reopens. The sync respects the certification workflow, not the other way around.</w:t>
      </w:r>
      <w:r>
        <w:t xml:space="preserve"> </w:t>
      </w:r>
      <w:r>
        <w:t xml:space="preserve">→ And it all parses in the browser. Export-controlled program? The file never leaves your machine.</w:t>
      </w:r>
    </w:p>
    <w:p>
      <w:pPr>
        <w:pStyle w:val="BodyText"/>
      </w:pPr>
      <w:r>
        <w:t xml:space="preserve">One source of truth for requirements. One source of truth for the safety argument. A thread between them that doesn’t fray when either side moves.</w:t>
      </w:r>
    </w:p>
    <w:p>
      <w:pPr>
        <w:pStyle w:val="BodyText"/>
      </w:pPr>
      <w:r>
        <w:t xml:space="preserve">If you run Polarion or Jama and this is the thing that’s kept a safety workspace off the table — the import guides are ready. Say the word.</w:t>
      </w:r>
    </w:p>
    <w:p>
      <w:pPr>
        <w:pStyle w:val="BodyText"/>
      </w:pPr>
      <w:r>
        <w:t xml:space="preserve">#RequirementsManagement #SystemSafety #Polarion #JamaConnect</w:t>
      </w:r>
    </w:p>
    <w:p>
      <w:r>
        <w:pict>
          <v:rect style="width:0;height:1.5pt" o:hralign="center" o:hrstd="t" o:hr="t"/>
        </w:pict>
      </w:r>
    </w:p>
    <w:p>
      <w:pPr>
        <w:pStyle w:val="FirstParagraph"/>
      </w:pPr>
      <w:r>
        <w:rPr>
          <w:i/>
        </w:rPr>
        <w:t xml:space="preserve">Drafts by the workshop — roughen freely, bhau. The clips capture in one sitting on the K350: posts 2 and 3 are the strongest openers if you’d rather lead with product than principle.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LinkedIn Post Series — Safety Lab Aero</dc:title>
  <dc:creator/>
  <cp:keywords/>
  <dcterms:created xsi:type="dcterms:W3CDTF">2026-07-04T07:57:35Z</dcterms:created>
  <dcterms:modified xsi:type="dcterms:W3CDTF">2026-07-04T07:57:35Z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 · drafts for Waqas to roughen</vt:lpwstr>
  </property>
  <property fmtid="{D5CDD505-2E9C-101B-9397-08002B2CF9AE}" pid="3" name="subtitle">
    <vt:lpwstr>Four founder-voice posts · one every 3–4 days · each with a screen recording from the K350 showcase</vt:lpwstr>
  </property>
</Properties>
</file>