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Golden</w:t>
      </w:r>
      <w:r>
        <w:t xml:space="preserve"> </w:t>
      </w:r>
      <w:r>
        <w:t xml:space="preserve">Thread,</w:t>
      </w:r>
      <w:r>
        <w:t xml:space="preserve"> </w:t>
      </w:r>
      <w:r>
        <w:t xml:space="preserve">End</w:t>
      </w:r>
      <w:r>
        <w:t xml:space="preserve"> </w:t>
      </w:r>
      <w:r>
        <w:t xml:space="preserve">to</w:t>
      </w:r>
      <w:r>
        <w:t xml:space="preserve"> </w:t>
      </w:r>
      <w:r>
        <w:t xml:space="preserve">End</w:t>
      </w:r>
    </w:p>
    <w:p>
      <w:pPr>
        <w:pStyle w:val="Subtitle"/>
      </w:pPr>
      <w:r>
        <w:t xml:space="preserve">MBSA</w:t>
      </w:r>
      <w:r>
        <w:t xml:space="preserve"> </w:t>
      </w:r>
      <w:r>
        <w:t xml:space="preserve">Build</w:t>
      </w:r>
      <w:r>
        <w:t xml:space="preserve"> </w:t>
      </w:r>
      <w:r>
        <w:t xml:space="preserve">Plan</w:t>
      </w:r>
      <w:r>
        <w:t xml:space="preserve"> </w:t>
      </w:r>
      <w:r>
        <w:t xml:space="preserve">—</w:t>
      </w:r>
      <w:r>
        <w:t xml:space="preserve"> </w:t>
      </w:r>
      <w:r>
        <w:t xml:space="preserve">Deterministic</w:t>
      </w:r>
      <w:r>
        <w:t xml:space="preserve"> </w:t>
      </w:r>
      <w:r>
        <w:t xml:space="preserve">Automation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ARP4754B</w:t>
      </w:r>
      <w:r>
        <w:t xml:space="preserve"> </w:t>
      </w:r>
      <w:r>
        <w:t xml:space="preserve">/</w:t>
      </w:r>
      <w:r>
        <w:t xml:space="preserve"> </w:t>
      </w:r>
      <w:r>
        <w:t xml:space="preserve">ARP4761A</w:t>
      </w:r>
      <w:r>
        <w:t xml:space="preserve"> </w:t>
      </w:r>
      <w:r>
        <w:t xml:space="preserve">Core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Safety</w:t>
      </w:r>
      <w:r>
        <w:t xml:space="preserve"> </w:t>
      </w:r>
      <w:r>
        <w:t xml:space="preserve">Lab</w:t>
      </w:r>
      <w:r>
        <w:t xml:space="preserve"> </w:t>
      </w:r>
      <w:r>
        <w:t xml:space="preserve">Aero</w:t>
      </w:r>
      <w:r>
        <w:t xml:space="preserve"> </w:t>
      </w:r>
      <w:r>
        <w:t xml:space="preserve">·</w:t>
      </w:r>
      <w:r>
        <w:t xml:space="preserve"> </w:t>
      </w:r>
      <w:r>
        <w:t xml:space="preserve">Internal</w:t>
      </w:r>
      <w:r>
        <w:t xml:space="preserve"> </w:t>
      </w:r>
      <w:r>
        <w:t xml:space="preserve">planning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urpose"/>
      <w:r>
        <w:t xml:space="preserve">1 · Purpose</w:t>
      </w:r>
      <w:bookmarkEnd w:id="20"/>
    </w:p>
    <w:p>
      <w:pPr>
        <w:pStyle w:val="FirstParagraph"/>
      </w:pPr>
      <w:r>
        <w:t xml:space="preserve">This document details the complete golden thread as it will exist when the M-series lands: every artifact, every link, what generates it, what checks it, and where the engineer signs. It is the build contract for the MBSA work — read it once and you know exactly what we are building, why each piece rides existing machinery, and in what order.</w:t>
      </w:r>
    </w:p>
    <w:p>
      <w:pPr>
        <w:pStyle w:val="BodyText"/>
      </w:pPr>
      <w:r>
        <w:t xml:space="preserve">The thesis in one line:</w:t>
      </w:r>
      <w:r>
        <w:t xml:space="preserve"> </w:t>
      </w:r>
      <w:r>
        <w:rPr>
          <w:b/>
        </w:rPr>
        <w:t xml:space="preserve">Safety Lab is ARP4754B / ARP4761A compiled into an executable, deterministic form.</w:t>
      </w:r>
      <w:r>
        <w:t xml:space="preserve"> </w:t>
      </w:r>
      <w:r>
        <w:t xml:space="preserve">The M-series does not add a new philosophy — it extends how much of the aircraft the compiler can see, and plugs the design tool (Cameo) and the requirements tool (Jama / Polarion / DOORS) into the same thread.</w:t>
      </w:r>
    </w:p>
    <w:p>
      <w:pPr>
        <w:pStyle w:val="Heading1"/>
      </w:pPr>
      <w:bookmarkStart w:id="21" w:name="the-thread-link-by-link"/>
      <w:r>
        <w:t xml:space="preserve">2 · The thread, link by link</w:t>
      </w:r>
      <w:bookmarkEnd w:id="21"/>
    </w:p>
    <w:p>
      <w:pPr>
        <w:pStyle w:val="FirstParagraph"/>
      </w:pPr>
      <w:r>
        <w:t xml:space="preserve">Read top to bottom: each row consumes the one above it.</w:t>
      </w:r>
      <w:r>
        <w:t xml:space="preserve"> </w:t>
      </w:r>
      <w:r>
        <w:rPr>
          <w:b/>
        </w:rPr>
        <w:t xml:space="preserve">[E]</w:t>
      </w:r>
      <w:r>
        <w:t xml:space="preserve"> </w:t>
      </w:r>
      <w:r>
        <w:t xml:space="preserve">marks elicited content the engineer owns and signs;</w:t>
      </w:r>
      <w:r>
        <w:t xml:space="preserve"> </w:t>
      </w:r>
      <w:r>
        <w:rPr>
          <w:b/>
        </w:rPr>
        <w:t xml:space="preserve">[D]</w:t>
      </w:r>
      <w:r>
        <w:t xml:space="preserve"> </w:t>
      </w:r>
      <w:r>
        <w:t xml:space="preserve">marks deterministically derived content the engine owns;</w:t>
      </w:r>
      <w:r>
        <w:t xml:space="preserve"> </w:t>
      </w:r>
      <w:r>
        <w:rPr>
          <w:b/>
        </w:rPr>
        <w:t xml:space="preserve">[E←D]</w:t>
      </w:r>
      <w:r>
        <w:t xml:space="preserve"> </w:t>
      </w:r>
      <w:r>
        <w:t xml:space="preserve">marks derived candidates that become real only on signature.</w:t>
      </w:r>
    </w:p>
    <w:tbl>
      <w:tblPr>
        <w:tblStyle w:val="Table"/>
        <w:tblW w:type="pct" w:w="4999.999999999999"/>
        <w:tblLook w:firstRow="1"/>
      </w:tblPr>
      <w:tblGrid>
        <w:gridCol w:w="848"/>
        <w:gridCol w:w="1697"/>
        <w:gridCol w:w="3111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architecture</w:t>
            </w:r>
            <w:r>
              <w:t xml:space="preserve"> </w:t>
            </w:r>
            <w:r>
              <w:t xml:space="preserve">→ systems, functions, interfaces</w:t>
            </w:r>
          </w:p>
        </w:tc>
        <w:tc>
          <w:p>
            <w:pPr>
              <w:pStyle w:val="Compact"/>
              <w:jc w:val="left"/>
            </w:pPr>
            <w:r>
              <w:t xml:space="preserve">XMI import from Cameo/SysML: blocks→systems, activities→functions, IBD connectors→interfaces &amp; resources. Idempotent on XMI ids; missing-in-source flagged, never deleted. [E←D]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Requirements source</w:t>
            </w:r>
            <w:r>
              <w:t xml:space="preserve"> </w:t>
            </w:r>
            <w:r>
              <w:t xml:space="preserve">↔ AC/system requirements</w:t>
            </w:r>
          </w:p>
        </w:tc>
        <w:tc>
          <w:p>
            <w:pPr>
              <w:pStyle w:val="Compact"/>
              <w:jc w:val="left"/>
            </w:pPr>
            <w:r>
              <w:t xml:space="preserve">ReqIF round-trip (Polarion, Jama, DOORS) today; Jama REST live sync in pilot. Jama owns requirement text; Safety Lab owns the safety analysis; status written back. [E←D]</w:t>
            </w:r>
          </w:p>
        </w:tc>
        <w:tc>
          <w:p>
            <w:pPr>
              <w:pStyle w:val="Compact"/>
              <w:jc w:val="left"/>
            </w:pPr>
            <w:r>
              <w:t xml:space="preserve">Shipped / pilot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Functions</w:t>
            </w:r>
            <w:r>
              <w:t xml:space="preserve"> </w:t>
            </w:r>
            <w:r>
              <w:t xml:space="preserve">→ AFHA / SFHA failure conditions</w:t>
            </w:r>
          </w:p>
        </w:tc>
        <w:tc>
          <w:p>
            <w:pPr>
              <w:pStyle w:val="Compact"/>
              <w:jc w:val="left"/>
            </w:pPr>
            <w:r>
              <w:t xml:space="preserve">Elicited: the hazard call and severity classification are engineering judgment, always. FCIM screens the loss/malfunction matrix. [E]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Severity + cert basis →</w:t>
            </w:r>
            <w:r>
              <w:t xml:space="preserve"> </w:t>
            </w:r>
            <w:r>
              <w:rPr>
                <w:b/>
              </w:rPr>
              <w:t xml:space="preserve">probability targets &amp; FDAL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ladder per the certification basis (Part 23 class-aware / Part 25), AC 25.1309 / 23.1309 rules. Feeds every downstream number. [D]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Architecture + functions →</w:t>
            </w:r>
            <w:r>
              <w:t xml:space="preserve"> </w:t>
            </w:r>
            <w:r>
              <w:rPr>
                <w:b/>
              </w:rPr>
              <w:t xml:space="preserve">MAC model</w:t>
            </w:r>
          </w:p>
        </w:tc>
        <w:tc>
          <w:p>
            <w:pPr>
              <w:pStyle w:val="Compact"/>
              <w:jc w:val="left"/>
            </w:pPr>
            <w:r>
              <w:t xml:space="preserve">The behavioral model: availability logic today (L0–L2); typed deviation lanes — loss / erroneous / inadvertent per flow — at L3, with pass-through defaults so existing models compile unchanged. Mode &amp; reconfiguration logic thereafter. [E, model authored; M5 seeds skeleton]</w:t>
            </w:r>
          </w:p>
        </w:tc>
        <w:tc>
          <w:p>
            <w:pPr>
              <w:pStyle w:val="Compact"/>
              <w:jc w:val="left"/>
            </w:pPr>
            <w:r>
              <w:t xml:space="preserve">Shipped →</w:t>
            </w:r>
            <w:r>
              <w:t xml:space="preserve"> </w:t>
            </w:r>
            <w:r>
              <w:rPr>
                <w:b/>
              </w:rPr>
              <w:t xml:space="preserve">M1, M2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MAC model →</w:t>
            </w:r>
            <w:r>
              <w:t xml:space="preserve"> </w:t>
            </w:r>
            <w:r>
              <w:rPr>
                <w:b/>
              </w:rPr>
              <w:t xml:space="preserve">compiled BDDs → fault trees</w:t>
            </w:r>
          </w:p>
        </w:tc>
        <w:tc>
          <w:p>
            <w:pPr>
              <w:pStyle w:val="Compact"/>
              <w:jc w:val="left"/>
            </w:pPr>
            <w:r>
              <w:t xml:space="preserve">The compiler. Output equivalence is</w:t>
            </w:r>
            <w:r>
              <w:t xml:space="preserve"> </w:t>
            </w:r>
            <w:r>
              <w:rPr>
                <w:i/>
              </w:rPr>
              <w:t xml:space="preserve">proven</w:t>
            </w:r>
            <w:r>
              <w:t xml:space="preserve"> </w:t>
            </w:r>
            <w:r>
              <w:t xml:space="preserve">(BDD check), not assumed. Budgets apportioned, DALgebra per §5.2.3 / Table P2 with Option 1/2 independence predicates. [D]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Compiled BDDs →</w:t>
            </w:r>
            <w:r>
              <w:t xml:space="preserve"> </w:t>
            </w:r>
            <w:r>
              <w:rPr>
                <w:b/>
              </w:rPr>
              <w:t xml:space="preserve">machine-checked safety properties</w:t>
            </w:r>
          </w:p>
        </w:tc>
        <w:tc>
          <w:p>
            <w:pPr>
              <w:pStyle w:val="Compact"/>
              <w:jc w:val="left"/>
            </w:pPr>
            <w:r>
              <w:t xml:space="preserve">NSPF per Catastrophic FC, minimum cutset order vs severity floor, MMEL redundancy claims re-proven on the model. Verdicts land in the invariants panel and evidence package. [D]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Model ↔ FHA →</w:t>
            </w:r>
            <w:r>
              <w:t xml:space="preserve"> </w:t>
            </w:r>
            <w:r>
              <w:rPr>
                <w:b/>
              </w:rPr>
              <w:t xml:space="preserve">coverage proof</w:t>
            </w:r>
          </w:p>
        </w:tc>
        <w:tc>
          <w:p>
            <w:pPr>
              <w:pStyle w:val="Compact"/>
              <w:jc w:val="left"/>
            </w:pPr>
            <w:r>
              <w:t xml:space="preserve">INV-12: every Cat/Haz FC resolves to model logic (hard for Cat, advisory for Haz), following AC↔system linkage.</w:t>
            </w:r>
            <w:r>
              <w:t xml:space="preserve"> </w:t>
            </w:r>
            <w:r>
              <w:t xml:space="preserve">“</w:t>
            </w:r>
            <w:r>
              <w:t xml:space="preserve">Model-based</w:t>
            </w:r>
            <w:r>
              <w:t xml:space="preserve">”</w:t>
            </w:r>
            <w:r>
              <w:t xml:space="preserve"> </w:t>
            </w:r>
            <w:r>
              <w:t xml:space="preserve">becomes a checkable claim. [D]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Systems + resources + zones + routing →</w:t>
            </w:r>
            <w:r>
              <w:t xml:space="preserve"> </w:t>
            </w:r>
            <w:r>
              <w:rPr>
                <w:b/>
              </w:rPr>
              <w:t xml:space="preserve">propagation graph</w:t>
            </w:r>
          </w:p>
        </w:tc>
        <w:tc>
          <w:p>
            <w:pPr>
              <w:pStyle w:val="Compact"/>
              <w:jc w:val="left"/>
            </w:pPr>
            <w:r>
              <w:t xml:space="preserve">CEA graph today (provides/feeds/interface edges, cascade BFS). M7 adds zones and routing paths as first-class nodes: a zonal event reaches everything housed in or routed through the zone — making the ZSA separation requirement machine-checkable. [D]</w:t>
            </w:r>
          </w:p>
        </w:tc>
        <w:tc>
          <w:p>
            <w:pPr>
              <w:pStyle w:val="Compact"/>
              <w:jc w:val="left"/>
            </w:pPr>
            <w:r>
              <w:t xml:space="preserve">Shipped →</w:t>
            </w:r>
            <w:r>
              <w:t xml:space="preserve"> </w:t>
            </w:r>
            <w:r>
              <w:rPr>
                <w:b/>
              </w:rPr>
              <w:t xml:space="preserve">M7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Propagation graph + BDDs →</w:t>
            </w:r>
            <w:r>
              <w:t xml:space="preserve"> </w:t>
            </w:r>
            <w:r>
              <w:rPr>
                <w:b/>
              </w:rPr>
              <w:t xml:space="preserve">fault injection</w:t>
            </w:r>
          </w:p>
        </w:tc>
        <w:tc>
          <w:p>
            <w:pPr>
              <w:pStyle w:val="Compact"/>
              <w:jc w:val="left"/>
            </w:pPr>
            <w:r>
              <w:t xml:space="preserve">Interactive what-if on the CEA page: fail nodes (or a whole zone), watch the cascade, see which FCs trip at what severity. Read-only overlay, stores nothing. [D]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Gate structure + CCA →</w:t>
            </w:r>
            <w:r>
              <w:t xml:space="preserve"> </w:t>
            </w:r>
            <w:r>
              <w:rPr>
                <w:b/>
              </w:rPr>
              <w:t xml:space="preserve">independence &amp; CCF discipline</w:t>
            </w:r>
          </w:p>
        </w:tc>
        <w:tc>
          <w:p>
            <w:pPr>
              <w:pStyle w:val="Compact"/>
              <w:jc w:val="left"/>
            </w:pPr>
            <w:r>
              <w:t xml:space="preserve">AND gates emit typed independence requirements (functional / development / physical); detected couplings (shared library, CCF groups, CMA modes) emit their own control requirements; lookalike twins carry the confirm-independence flag until signed or bucketed (β user-entered). App M discipline throughout. [E←D]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Everything above →</w:t>
            </w:r>
            <w:r>
              <w:t xml:space="preserve"> </w:t>
            </w:r>
            <w:r>
              <w:rPr>
                <w:b/>
              </w:rPr>
              <w:t xml:space="preserve">AutoReq requirements</w:t>
            </w:r>
          </w:p>
        </w:tc>
        <w:tc>
          <w:p>
            <w:pPr>
              <w:pStyle w:val="Compact"/>
              <w:jc w:val="left"/>
            </w:pPr>
            <w:r>
              <w:t xml:space="preserve">EARS/INCOSE-form singular statements (one</w:t>
            </w:r>
            <w:r>
              <w:t xml:space="preserve"> </w:t>
            </w:r>
            <w:r>
              <w:rPr>
                <w:i/>
              </w:rPr>
              <w:t xml:space="preserve">shall</w:t>
            </w:r>
            <w:r>
              <w:t xml:space="preserve">, rationale separated), probability per flight in ARP 4761 form, FDAL allocations, CMR-candidate intervals, PRA/ZSA conditionals. Fingerprinted: any upstream edit re-stales exactly the affected requirements. [E←D]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Model (L3) →</w:t>
            </w:r>
            <w:r>
              <w:t xml:space="preserve"> </w:t>
            </w:r>
            <w:r>
              <w:rPr>
                <w:b/>
              </w:rPr>
              <w:t xml:space="preserve">generated FMEA candidates</w:t>
            </w:r>
          </w:p>
        </w:tc>
        <w:tc>
          <w:p>
            <w:pPr>
              <w:pStyle w:val="Compact"/>
              <w:jc w:val="left"/>
            </w:pPr>
            <w:r>
              <w:t xml:space="preserve">Per block: internal failure → reachable output deviations → local/next/end effects per the 4761A §5.1.3 / App B structure. Preview→sign like AutoReq; never auto-written. [E←D]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Requirements →</w:t>
            </w:r>
            <w:r>
              <w:t xml:space="preserve"> </w:t>
            </w:r>
            <w:r>
              <w:rPr>
                <w:b/>
              </w:rPr>
              <w:t xml:space="preserve">validation &amp; verification</w:t>
            </w:r>
          </w:p>
        </w:tc>
        <w:tc>
          <w:p>
            <w:pPr>
              <w:pStyle w:val="Compact"/>
              <w:jc w:val="left"/>
            </w:pPr>
            <w:r>
              <w:t xml:space="preserve">Six correctness lints, rigor by severity (Cat/Haz demand independent attestation), verification evidence pulled from the mirror trees (computed P vs allocated budget). [E←D]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Trees + items →</w:t>
            </w:r>
            <w:r>
              <w:t xml:space="preserve"> </w:t>
            </w:r>
            <w:r>
              <w:rPr>
                <w:b/>
              </w:rPr>
              <w:t xml:space="preserve">R&amp;M lane</w:t>
            </w:r>
          </w:p>
        </w:tc>
        <w:tc>
          <w:p>
            <w:pPr>
              <w:pStyle w:val="Compact"/>
              <w:jc w:val="left"/>
            </w:pPr>
            <w:r>
              <w:t xml:space="preserve">Derived maintenance tasks, FRACAS field verdicts (χ² LCB vs prediction), MSG-3 (systems + structures + zonal + L/HIRF), MMEL dispatch, spares/LCC — all visible as chains on the Traceability Matrix with per-row gap verdicts. [E←D]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Everything →</w:t>
            </w:r>
            <w:r>
              <w:t xml:space="preserve"> </w:t>
            </w:r>
            <w:r>
              <w:rPr>
                <w:b/>
              </w:rPr>
              <w:t xml:space="preserve">robustness spine</w:t>
            </w:r>
          </w:p>
        </w:tc>
        <w:tc>
          <w:p>
            <w:pPr>
              <w:pStyle w:val="Compact"/>
              <w:jc w:val="left"/>
            </w:pPr>
            <w:r>
              <w:t xml:space="preserve">Thread-integrity sweep, delete guard with undo, rename propagation, cross-artifact invariants, save/load round-trip proof, recovery ring + session resume, engine self-test per session. All detection-only, all named findings. [D]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Everything →</w:t>
            </w:r>
            <w:r>
              <w:t xml:space="preserve"> </w:t>
            </w:r>
            <w:r>
              <w:rPr>
                <w:b/>
              </w:rPr>
              <w:t xml:space="preserve">evidence package &amp; objectives matrix</w:t>
            </w:r>
          </w:p>
        </w:tc>
        <w:tc>
          <w:p>
            <w:pPr>
              <w:pStyle w:val="Compact"/>
              <w:jc w:val="left"/>
            </w:pPr>
            <w:r>
              <w:t xml:space="preserve">Hash-verified package; §10g–§10j carry thread integrity, round-trip proof, invariants, and the same-session engine self-test. ARP4754B Appendix A objectives substantiated by the automated evidence streams. Reviewer licenses (V3) make this the DER’s front door. [D]</w:t>
            </w:r>
          </w:p>
        </w:tc>
        <w:tc>
          <w:p>
            <w:pPr>
              <w:pStyle w:val="Compact"/>
              <w:jc w:val="left"/>
            </w:pPr>
            <w:r>
              <w:t xml:space="preserve">Shipped → V3</w:t>
            </w:r>
          </w:p>
        </w:tc>
      </w:tr>
    </w:tbl>
    <w:p>
      <w:pPr>
        <w:pStyle w:val="BodyText"/>
      </w:pPr>
      <w:r>
        <w:t xml:space="preserve">The property that makes this a</w:t>
      </w:r>
      <w:r>
        <w:t xml:space="preserve"> </w:t>
      </w:r>
      <w:r>
        <w:rPr>
          <w:i/>
        </w:rPr>
        <w:t xml:space="preserve">thread</w:t>
      </w:r>
      <w:r>
        <w:t xml:space="preserve"> </w:t>
      </w:r>
      <w:r>
        <w:t xml:space="preserve">rather than a pile of features:</w:t>
      </w:r>
      <w:r>
        <w:t xml:space="preserve"> </w:t>
      </w:r>
      <w:r>
        <w:rPr>
          <w:b/>
        </w:rPr>
        <w:t xml:space="preserve">rows 5–17 re-derive automatically when rows 1–4 change</w:t>
      </w:r>
      <w:r>
        <w:t xml:space="preserve">, via internal-id links and content fingerprints — and where automation cannot decide (severity, independence, β, acceptance), the thread stops and demands a signature.</w:t>
      </w:r>
    </w:p>
    <w:p>
      <w:pPr>
        <w:pStyle w:val="Heading1"/>
      </w:pPr>
      <w:bookmarkStart w:id="22" w:name="the-thread-contract"/>
      <w:r>
        <w:t xml:space="preserve">3 · The thread contract</w:t>
      </w:r>
      <w:bookmarkEnd w:id="22"/>
    </w:p>
    <w:p>
      <w:pPr>
        <w:pStyle w:val="FirstParagraph"/>
      </w:pPr>
      <w:r>
        <w:t xml:space="preserve">Four rules hold at every link, and every M-series item must honor them:</w:t>
      </w:r>
    </w:p>
    <w:p>
      <w:pPr>
        <w:pStyle w:val="BodyText"/>
      </w:pPr>
      <w:r>
        <w:rPr>
          <w:b/>
        </w:rPr>
        <w:t xml:space="preserve">Identity.</w:t>
      </w:r>
      <w:r>
        <w:t xml:space="preserve"> </w:t>
      </w:r>
      <w:r>
        <w:t xml:space="preserve">Links ride internal ids, never display strings. Where strings exist (zone ids, function ids, item ids), the rename guard detects the rename by internal-id anchor and offers propagation; the integrity sweep flags whatever the engineer declines.</w:t>
      </w:r>
    </w:p>
    <w:p>
      <w:pPr>
        <w:pStyle w:val="BodyText"/>
      </w:pPr>
      <w:r>
        <w:rPr>
          <w:b/>
        </w:rPr>
        <w:t xml:space="preserve">Staleness.</w:t>
      </w:r>
      <w:r>
        <w:t xml:space="preserve"> </w:t>
      </w:r>
      <w:r>
        <w:t xml:space="preserve">Every derived artifact carries a fingerprint of its inputs. Change the input, the artifact flags stale — it never silently updates and never silently survives.</w:t>
      </w:r>
    </w:p>
    <w:p>
      <w:pPr>
        <w:pStyle w:val="BodyText"/>
      </w:pPr>
      <w:r>
        <w:rPr>
          <w:b/>
        </w:rPr>
        <w:t xml:space="preserve">Two lanes.</w:t>
      </w:r>
      <w:r>
        <w:t xml:space="preserve"> </w:t>
      </w:r>
      <w:r>
        <w:t xml:space="preserve">Computed never overwrites elicited. Generators produce candidates; engineers sign them in. Detectors raise questions; engineers answer them. No exception anywhere in the M-series.</w:t>
      </w:r>
    </w:p>
    <w:p>
      <w:pPr>
        <w:pStyle w:val="BodyText"/>
      </w:pPr>
      <w:r>
        <w:rPr>
          <w:b/>
        </w:rPr>
        <w:t xml:space="preserve">Named findings.</w:t>
      </w:r>
      <w:r>
        <w:t xml:space="preserve"> </w:t>
      </w:r>
      <w:r>
        <w:t xml:space="preserve">No boolean verdicts. Every check that fails names the artifact, the field, and the reason — the difference between an audit trail and a dashboard.</w:t>
      </w:r>
    </w:p>
    <w:p>
      <w:pPr>
        <w:pStyle w:val="Heading1"/>
      </w:pPr>
      <w:bookmarkStart w:id="23" w:name="the-m-series-in-build-order"/>
      <w:r>
        <w:t xml:space="preserve">4 · The M-series, in build order</w:t>
      </w:r>
      <w:bookmarkEnd w:id="23"/>
    </w:p>
    <w:p>
      <w:pPr>
        <w:pStyle w:val="FirstParagraph"/>
      </w:pPr>
      <w:r>
        <w:rPr>
          <w:b/>
        </w:rPr>
        <w:t xml:space="preserve">M3 — Property checks on the compiled BDDs</w:t>
      </w:r>
      <w:r>
        <w:t xml:space="preserve"> </w:t>
      </w:r>
      <w:r>
        <w:t xml:space="preserve">(days).</w:t>
      </w:r>
      <w:r>
        <w:t xml:space="preserve"> </w:t>
      </w:r>
      <w:r>
        <w:rPr>
          <w:rStyle w:val="VerbatimChar"/>
        </w:rPr>
        <w:t xml:space="preserve">model_checks.js</w:t>
      </w:r>
      <w:r>
        <w:t xml:space="preserve"> </w:t>
      </w:r>
      <w:r>
        <w:t xml:space="preserve">evaluates NSPF, minimum-cutset-order, and MMEL redundancy claims directly on the BDDs the MAC compiler already emits. No new math — the BDD engine and cutset extraction exist. Ships with a small</w:t>
      </w:r>
      <w:r>
        <w:t xml:space="preserve"> </w:t>
      </w:r>
      <w:r>
        <w:rPr>
          <w:rStyle w:val="VerbatimChar"/>
        </w:rPr>
        <w:t xml:space="preserve">invRegister()</w:t>
      </w:r>
      <w:r>
        <w:t xml:space="preserve"> </w:t>
      </w:r>
      <w:r>
        <w:t xml:space="preserve">hook in invariants.js so any module can contribute checks from now on.</w:t>
      </w:r>
      <w:r>
        <w:t xml:space="preserve"> </w:t>
      </w:r>
      <w:r>
        <w:rPr>
          <w:i/>
        </w:rPr>
        <w:t xml:space="preserve">Acceptance: harness fixture with a known single-point failure fails the NSPF check by name; K350 passes clean.</w:t>
      </w:r>
    </w:p>
    <w:p>
      <w:pPr>
        <w:pStyle w:val="BodyText"/>
      </w:pPr>
      <w:r>
        <w:rPr>
          <w:b/>
        </w:rPr>
        <w:t xml:space="preserve">M6 — Coverage invariant INV-12</w:t>
      </w:r>
      <w:r>
        <w:t xml:space="preserve"> </w:t>
      </w:r>
      <w:r>
        <w:t xml:space="preserve">(hours, ships with M3). Every Cat/Haz FC resolves to MAC model logic or a compiled page. Hard for Catastrophic, advisory for Hazardous, linkage-aware like INV-02/06.</w:t>
      </w:r>
      <w:r>
        <w:t xml:space="preserve"> </w:t>
      </w:r>
      <w:r>
        <w:rPr>
          <w:i/>
        </w:rPr>
        <w:t xml:space="preserve">Acceptance: removing a model output for a Cat FC turns INV-12 red with the FC named.</w:t>
      </w:r>
    </w:p>
    <w:p>
      <w:pPr>
        <w:pStyle w:val="BodyText"/>
      </w:pPr>
      <w:r>
        <w:rPr>
          <w:b/>
        </w:rPr>
        <w:t xml:space="preserve">M4 — Fault injection on the CEA page</w:t>
      </w:r>
      <w:r>
        <w:t xml:space="preserve"> </w:t>
      </w:r>
      <w:r>
        <w:t xml:space="preserve">(days). Click-to-fail overlay: chosen failures → cascade BFS highlight → BDD evaluation → tripped FCs listed with severity. Zone injection arrives with M7. Read-only; clears on exit.</w:t>
      </w:r>
      <w:r>
        <w:t xml:space="preserve"> </w:t>
      </w:r>
      <w:r>
        <w:rPr>
          <w:i/>
        </w:rPr>
        <w:t xml:space="preserve">Acceptance: failing both hydraulic channels on the K350 trips the braking FC on screen; single failures trip nothing Catastrophic.</w:t>
      </w:r>
    </w:p>
    <w:p>
      <w:pPr>
        <w:pStyle w:val="BodyText"/>
      </w:pPr>
      <w:r>
        <w:rPr>
          <w:b/>
        </w:rPr>
        <w:t xml:space="preserve">M7 — Spatial join</w:t>
      </w:r>
      <w:r>
        <w:t xml:space="preserve"> </w:t>
      </w:r>
      <w:r>
        <w:t xml:space="preserve">(days). Zones and routing paths become propagation nodes. Two deliverables: zone-loss injection in the fault simulator, and a registered check that verifies each ZSA separation claim against the routing model — real evidence for the exact requirement AutoReq generates from ZSA.</w:t>
      </w:r>
      <w:r>
        <w:t xml:space="preserve"> </w:t>
      </w:r>
      <w:r>
        <w:rPr>
          <w:i/>
        </w:rPr>
        <w:t xml:space="preserve">Acceptance: a seeded zone housing two redundant channels fails the separation check by name.</w:t>
      </w:r>
    </w:p>
    <w:p>
      <w:pPr>
        <w:pStyle w:val="BodyText"/>
      </w:pPr>
      <w:r>
        <w:rPr>
          <w:b/>
        </w:rPr>
        <w:t xml:space="preserve">M5 — XMI import from Cameo</w:t>
      </w:r>
      <w:r>
        <w:t xml:space="preserve"> </w:t>
      </w:r>
      <w:r>
        <w:t xml:space="preserve">(about a week). Clone of the ReqIF playbook: strict XML parsing in the browser, preview → signed apply, idempotent re-import on stable XMI ids, missing-in-source flagged. Maps blocks→systems, activities→functions, IBD connectors→interfaces/resources; seeds a MAC skeleton. File-based first (nothing uploaded — same ITAR posture); Teamwork Cloud live sync later via the desktop build, the same deployment story as Jama Level 3.</w:t>
      </w:r>
      <w:r>
        <w:t xml:space="preserve"> </w:t>
      </w:r>
      <w:r>
        <w:rPr>
          <w:i/>
        </w:rPr>
        <w:t xml:space="preserve">Acceptance: a sample Cameo export round-trips twice with zero duplicates; renamed blocks update in place. We want one customer XMI sample before locking the mapping.</w:t>
      </w:r>
    </w:p>
    <w:p>
      <w:pPr>
        <w:pStyle w:val="BodyText"/>
      </w:pPr>
      <w:r>
        <w:rPr>
          <w:b/>
        </w:rPr>
        <w:t xml:space="preserve">M1 — Typed deviation lanes</w:t>
      </w:r>
      <w:r>
        <w:t xml:space="preserve"> </w:t>
      </w:r>
      <w:r>
        <w:t xml:space="preserve">(the strategic block; its own multi-session effort). MAC L3: loss / erroneous / inadvertent channels per flow, block transfer rules with pass-through defaults, per-deviation BDDs per FC, the equivalence verifier extended to all lanes, and FMEA candidates generated through the AutoReq-style pipeline. Existing models compile unchanged — L3 is opt-in per model.</w:t>
      </w:r>
      <w:r>
        <w:t xml:space="preserve"> </w:t>
      </w:r>
      <w:r>
        <w:rPr>
          <w:i/>
        </w:rPr>
        <w:t xml:space="preserve">Acceptance: the K350 gains an erroneous-lane FC compiled from the model; generated FMEA candidates match the hand-authored FMES rows for the same block.</w:t>
      </w:r>
    </w:p>
    <w:p>
      <w:pPr>
        <w:pStyle w:val="BodyText"/>
      </w:pPr>
      <w:r>
        <w:rPr>
          <w:b/>
        </w:rPr>
        <w:t xml:space="preserve">M2 — Modes</w:t>
      </w:r>
      <w:r>
        <w:t xml:space="preserve"> </w:t>
      </w:r>
      <w:r>
        <w:t xml:space="preserve">(last). Standby activation, degraded configurations, latent states as model constructs, compiled to the Markov/standby math verified in R2/DEEP-1, with the seeded Monte Carlo as the independent cross-check. Waits for M1 so the schema migrates once.</w:t>
      </w:r>
      <w:r>
        <w:t xml:space="preserve"> </w:t>
      </w:r>
      <w:r>
        <w:rPr>
          <w:i/>
        </w:rPr>
        <w:t xml:space="preserve">Acceptance: a modeled cold-standby pair compiles to the same availability the closed-form and MC fixtures give (they already agree to &lt;1%).</w:t>
      </w:r>
    </w:p>
    <w:p>
      <w:pPr>
        <w:pStyle w:val="Heading1"/>
      </w:pPr>
      <w:bookmarkStart w:id="24" w:name="the-integrations-lane"/>
      <w:r>
        <w:t xml:space="preserve">5 · The integrations lane</w:t>
      </w:r>
      <w:bookmarkEnd w:id="24"/>
    </w:p>
    <w:p>
      <w:pPr>
        <w:pStyle w:val="FirstParagraph"/>
      </w:pPr>
      <w:r>
        <w:rPr>
          <w:b/>
        </w:rPr>
        <w:t xml:space="preserve">Jama / Polarion / DOORS (requirements).</w:t>
      </w:r>
      <w:r>
        <w:t xml:space="preserve"> </w:t>
      </w:r>
      <w:r>
        <w:t xml:space="preserve">Level 1 (ReqIF file round-trip) and Level 2 (Excel) are shipped and documented in the two customer guides. Level 3 — live Jama REST sync — is the pilot: inbound pulls ride the same idempotent pipeline as ReqIF; outbound writes exactly two custom fields in Jama (Safety Lab Status, deep link), so Jama users track V&amp;V progress in their own dashboards. Ownership is contractual:</w:t>
      </w:r>
      <w:r>
        <w:t xml:space="preserve"> </w:t>
      </w:r>
      <w:r>
        <w:rPr>
          <w:b/>
        </w:rPr>
        <w:t xml:space="preserve">Jama owns requirement content, Safety Lab owns the safety analysis</w:t>
      </w:r>
      <w:r>
        <w:t xml:space="preserve">, conflicts flag and never merge silently. A requirement changed after analyses traced to it re-stales those analyses and can reopen a baselined gate — the thread outranks the sync.</w:t>
      </w:r>
    </w:p>
    <w:p>
      <w:pPr>
        <w:pStyle w:val="BodyText"/>
      </w:pPr>
      <w:r>
        <w:rPr>
          <w:b/>
        </w:rPr>
        <w:t xml:space="preserve">Cameo / SysML (architecture).</w:t>
      </w:r>
      <w:r>
        <w:t xml:space="preserve"> </w:t>
      </w:r>
      <w:r>
        <w:t xml:space="preserve">M5, above. Same ownership shape one level up:</w:t>
      </w:r>
      <w:r>
        <w:t xml:space="preserve"> </w:t>
      </w:r>
      <w:r>
        <w:rPr>
          <w:b/>
        </w:rPr>
        <w:t xml:space="preserve">the MBSE tool owns the architecture, Safety Lab owns the safety model built on it.</w:t>
      </w:r>
      <w:r>
        <w:t xml:space="preserve"> </w:t>
      </w:r>
      <w:r>
        <w:t xml:space="preserve">Re-import diffs the architecture; changed blocks flag the MAC model elements and analyses built on them, through the same fingerprint machinery as everything else. The long-term picture: a change in Cameo ripples — visibly, with named impacts — all the way to requirements status in Jama, with every hop deterministic and signed where judgment lives.</w:t>
      </w:r>
    </w:p>
    <w:p>
      <w:pPr>
        <w:pStyle w:val="Heading1"/>
      </w:pPr>
      <w:bookmarkStart w:id="25" w:name="determinism-as-the-product-principle"/>
      <w:r>
        <w:t xml:space="preserve">6 · Determinism as the product principle</w:t>
      </w:r>
      <w:bookmarkEnd w:id="25"/>
    </w:p>
    <w:p>
      <w:pPr>
        <w:pStyle w:val="FirstParagraph"/>
      </w:pPr>
      <w:r>
        <w:t xml:space="preserve">Every link in Section 2 is a pure function of project data: BDD evaluation, graph traversal, table joins, XML parsing with fixed mappings, closed-form reliability math. Same project file → same trees, requirements, FMEA candidates, property verdicts, and evidence package, on any machine. Two deliberate edges: the Monte Carlo engine is seeded (bit-reproducible, and only ever a cross-check on closed-form results), and the one non-deterministic capability in the product — AI tree synthesis — is admitted only through the deterministic equivalence proof. The per-session engine self-test (§10j) attests the arithmetic on the reviewer’s own machine.</w:t>
      </w:r>
    </w:p>
    <w:p>
      <w:pPr>
        <w:pStyle w:val="BodyText"/>
      </w:pPr>
      <w:r>
        <w:t xml:space="preserve">This is the certification argument and the sales argument in one: a DER can re-run everything and diff it.</w:t>
      </w:r>
      <w:r>
        <w:t xml:space="preserve"> </w:t>
      </w:r>
      <w:r>
        <w:t xml:space="preserve">“</w:t>
      </w:r>
      <w:r>
        <w:t xml:space="preserve">No AI in the loop, no hallucination surface</w:t>
      </w:r>
      <w:r>
        <w:t xml:space="preserve">”</w:t>
      </w:r>
      <w:r>
        <w:t xml:space="preserve"> </w:t>
      </w:r>
      <w:r>
        <w:t xml:space="preserve">is not a disclaimer — it is the feature.</w:t>
      </w:r>
    </w:p>
    <w:p>
      <w:pPr>
        <w:pStyle w:val="Heading1"/>
      </w:pPr>
      <w:bookmarkStart w:id="26" w:name="boundaries"/>
      <w:r>
        <w:t xml:space="preserve">7 · Boundaries</w:t>
      </w:r>
      <w:bookmarkEnd w:id="26"/>
    </w:p>
    <w:p>
      <w:pPr>
        <w:pStyle w:val="FirstParagraph"/>
      </w:pPr>
      <w:r>
        <w:t xml:space="preserve">Unchanged and non-negotiable: we encode the</w:t>
      </w:r>
      <w:r>
        <w:t xml:space="preserve"> </w:t>
      </w:r>
      <w:r>
        <w:rPr>
          <w:i/>
        </w:rPr>
        <w:t xml:space="preserve">decision logic</w:t>
      </w:r>
      <w:r>
        <w:t xml:space="preserve"> </w:t>
      </w:r>
      <w:r>
        <w:t xml:space="preserve">of ARP4754B / ARP4761A and never reproduce standard text; we ship no licensed reliability data (Telcordia/FIDES shapes take user-entered values, β factors are user-entered); computed output never overwrites elicited judgment; and nothing leaves the browser — file-based integrations parse locally, live integrations run from the desktop build on the customer’s machine.</w:t>
      </w:r>
    </w:p>
    <w:p>
      <w:pPr>
        <w:pStyle w:val="Heading1"/>
      </w:pPr>
      <w:bookmarkStart w:id="27" w:name="milestones"/>
      <w:r>
        <w:t xml:space="preserve">8 · Milestones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Contains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 headline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MBSA-1</w:t>
            </w:r>
          </w:p>
        </w:tc>
        <w:tc>
          <w:p>
            <w:pPr>
              <w:pStyle w:val="Compact"/>
              <w:jc w:val="left"/>
            </w:pPr>
            <w:r>
              <w:t xml:space="preserve">M3 + M6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Machine-checked NSPF and model coverage, stamped into the evidence package.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MBSA-2</w:t>
            </w:r>
          </w:p>
        </w:tc>
        <w:tc>
          <w:p>
            <w:pPr>
              <w:pStyle w:val="Compact"/>
              <w:jc w:val="left"/>
            </w:pPr>
            <w:r>
              <w:t xml:space="preserve">M4 + M7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Click two failures — or a whole zone — and watch the aircraft respond. ZSA claims verified against routing.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MBSA-3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Import the architecture from Cameo; re-import syncs it. Same discipline as ReqIF.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MBSA-4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model generates the FMEA. Erroneous behavior is a compiled lane, not a footnote.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MBSA-5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Standby, reconfiguration, and dormancy modeled at system level, proven against three independent engines.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Each milestone lands with harness tests (the suite stays green throughout), a K350 showcase seed exercising it, and its evidence-package section. Nothing ships without its live verification pass.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Safety Lab Aero — internal. Companion documents: Polarion Import Guide, Jama Integration Guide, RAM Suite Test Report.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Golden Thread, End to End</dc:title>
  <dc:creator/>
  <cp:keywords/>
  <dcterms:created xsi:type="dcterms:W3CDTF">2026-07-04T04:11:54Z</dcterms:created>
  <dcterms:modified xsi:type="dcterms:W3CDTF">2026-07-04T04:11:54Z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 · Safety Lab Aero · Internal planning</vt:lpwstr>
  </property>
  <property fmtid="{D5CDD505-2E9C-101B-9397-08002B2CF9AE}" pid="3" name="subtitle">
    <vt:lpwstr>MBSA Build Plan — Deterministic Automation on the ARP4754B / ARP4761A Core</vt:lpwstr>
  </property>
</Properties>
</file>