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drawing>
          <wp:inline distT="0" distB="0" distL="0" distR="0">
            <wp:extent cx="1095375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0B5FA5"/>
          <w:sz w:val="24"/>
          <w:szCs w:val="24"/>
        </w:rPr>
        <w:t xml:space="preserve">SAFETY LAB AERO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B6472"/>
          <w:sz w:val="20"/>
          <w:szCs w:val="20"/>
        </w:rPr>
        <w:t xml:space="preserve">Rough Order of Magnitude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0A1F44"/>
          <w:sz w:val="52"/>
          <w:szCs w:val="52"/>
        </w:rPr>
        <w:t xml:space="preserve">Enterprise Licensing for Radia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5B6472"/>
          <w:sz w:val="26"/>
          <w:szCs w:val="26"/>
        </w:rPr>
        <w:t xml:space="preserve">Budgetary estimate for five engineer seats and two reviewer seats, one year</w:t>
      </w:r>
    </w:p>
    <w:p>
      <w:pPr>
        <w:pBdr>
          <w:bottom w:val="single" w:color="0A1F44" w:sz="6" w:space="1"/>
        </w:pBdr>
        <w:spacing w:after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Document control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6768"/>
      </w:tblGrid>
      <w:tr>
        <w:tc>
          <w:tcPr>
            <w:tcW w:type="dxa" w:w="2736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Document no.</w:t>
            </w:r>
          </w:p>
        </w:tc>
        <w:tc>
          <w:tcPr>
            <w:tcW w:type="dxa" w:w="676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SLA-ROM-001</w:t>
            </w:r>
          </w:p>
        </w:tc>
      </w:tr>
      <w:tr>
        <w:tc>
          <w:tcPr>
            <w:tcW w:type="dxa" w:w="2736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676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736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76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Issued — budgetary estimate, not a quotation</w:t>
            </w:r>
          </w:p>
        </w:tc>
      </w:tr>
      <w:tr>
        <w:tc>
          <w:tcPr>
            <w:tcW w:type="dxa" w:w="2736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Confidential — prepared for Radia</w:t>
            </w:r>
          </w:p>
        </w:tc>
      </w:tr>
      <w:tr>
        <w:tc>
          <w:tcPr>
            <w:tcW w:type="dxa" w:w="2736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676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September 2026</w:t>
            </w:r>
          </w:p>
        </w:tc>
      </w:tr>
      <w:tr>
        <w:tc>
          <w:tcPr>
            <w:tcW w:type="dxa" w:w="2736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Valid until</w:t>
            </w:r>
          </w:p>
        </w:tc>
        <w:tc>
          <w:tcPr>
            <w:tcW w:type="dxa" w:w="676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November 2026 (60 days)</w:t>
            </w:r>
          </w:p>
        </w:tc>
      </w:tr>
      <w:tr>
        <w:tc>
          <w:tcPr>
            <w:tcW w:type="dxa" w:w="2736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Author</w:t>
            </w:r>
          </w:p>
        </w:tc>
        <w:tc>
          <w:tcPr>
            <w:tcW w:type="dxa" w:w="676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Safety Lab Aero</w:t>
            </w:r>
          </w:p>
        </w:tc>
      </w:tr>
      <w:tr>
        <w:tc>
          <w:tcPr>
            <w:tcW w:type="dxa" w:w="2736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Audience</w:t>
            </w:r>
          </w:p>
        </w:tc>
        <w:tc>
          <w:tcPr>
            <w:tcW w:type="dxa" w:w="676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Radia — engineering leadership, program management, procurement</w:t>
            </w:r>
          </w:p>
        </w:tc>
      </w:tr>
      <w:tr>
        <w:tc>
          <w:tcPr>
            <w:tcW w:type="dxa" w:w="2736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76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Safety Lab Aero, Enterprise tier · 5 named engineer seats · 2 reviewer seats · 12 months</w:t>
            </w:r>
          </w:p>
        </w:tc>
      </w:tr>
      <w:tr>
        <w:tc>
          <w:tcPr>
            <w:tcW w:type="dxa" w:w="2736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Questions</w:t>
            </w:r>
          </w:p>
        </w:tc>
        <w:tc>
          <w:tcPr>
            <w:tcW w:type="dxa" w:w="676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waqas.nafees@safetylabaero.com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A1F4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A1F4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A1F4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A1F4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Summary of change</w:t>
            </w:r>
          </w:p>
        </w:tc>
      </w:tr>
      <w:tr>
        <w:tc>
          <w:tcPr>
            <w:tcW w:type="dxa" w:w="234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Sep 2026</w:t>
            </w:r>
          </w:p>
        </w:tc>
        <w:tc>
          <w:tcPr>
            <w:tcW w:type="dxa" w:w="234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Safety Lab Aero</w:t>
            </w:r>
          </w:p>
        </w:tc>
        <w:tc>
          <w:tcPr>
            <w:tcW w:type="dxa" w:w="234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Initial issue.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CONFIDENTIAL  ·  © 2026 Safety Lab Aero. All rights reserved.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A1F4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pPr>
            <w:tabs>
              <w:tab w:val="right" w:leader="dot" w:pos="9360"/>
            </w:tabs>
            <w:spacing w:after="100"/>
          </w:pPr>
          <w:r>
            <w:fldChar w:fldCharType="begin" w:dirty="true"/>
            <w:instrText xml:space="preserve">TOC \h \o "1-2"</w:instrText>
            <w:fldChar w:fldCharType="separate"/>
          </w:r>
          <w:r>
            <w:rPr>
              <w:rFonts w:ascii="Arial" w:hAnsi="Arial" w:cs="Arial"/>
              <w:color w:val="222222"/>
              <w:sz w:val="21"/>
            </w:rPr>
            <w:t xml:space="preserve">1  The estimate, in one line</w:t>
          </w:r>
          <w:r>
            <w:rPr>
              <w:rFonts w:ascii="Arial" w:hAnsi="Arial" w:cs="Arial"/>
              <w:color w:val="222222"/>
              <w:sz w:val="21"/>
            </w:rPr>
            <w:tab/>
            <w:t>3</w:t>
          </w:r>
        </w:p>
        <w:p>
          <w:pPr>
            <w:tabs>
              <w:tab w:val="right" w:leader="dot" w:pos="9360"/>
            </w:tabs>
            <w:spacing w:after="100"/>
          </w:pPr>
          <w:r>
            <w:rPr>
              <w:rFonts w:ascii="Arial" w:hAnsi="Arial" w:cs="Arial"/>
              <w:color w:val="222222"/>
              <w:sz w:val="21"/>
            </w:rPr>
            <w:t xml:space="preserve">2  ROM pricing</w:t>
          </w:r>
          <w:r>
            <w:rPr>
              <w:rFonts w:ascii="Arial" w:hAnsi="Arial" w:cs="Arial"/>
              <w:color w:val="222222"/>
              <w:sz w:val="21"/>
            </w:rPr>
            <w:tab/>
            <w:t>3</w:t>
          </w:r>
        </w:p>
        <w:p>
          <w:pPr>
            <w:tabs>
              <w:tab w:val="right" w:leader="dot" w:pos="9360"/>
            </w:tabs>
            <w:spacing w:after="100"/>
          </w:pPr>
          <w:r>
            <w:rPr>
              <w:rFonts w:ascii="Arial" w:hAnsi="Arial" w:cs="Arial"/>
              <w:color w:val="222222"/>
              <w:sz w:val="21"/>
            </w:rPr>
            <w:t xml:space="preserve">3  What an Enterprise seat includes</w:t>
          </w:r>
          <w:r>
            <w:rPr>
              <w:rFonts w:ascii="Arial" w:hAnsi="Arial" w:cs="Arial"/>
              <w:color w:val="222222"/>
              <w:sz w:val="21"/>
            </w:rPr>
            <w:tab/>
            <w:t>3</w:t>
          </w:r>
        </w:p>
        <w:p>
          <w:pPr>
            <w:tabs>
              <w:tab w:val="right" w:leader="dot" w:pos="9360"/>
            </w:tabs>
            <w:spacing w:after="100"/>
          </w:pPr>
          <w:r>
            <w:rPr>
              <w:rFonts w:ascii="Arial" w:hAnsi="Arial" w:cs="Arial"/>
              <w:color w:val="222222"/>
              <w:sz w:val="21"/>
            </w:rPr>
            <w:t xml:space="preserve">4  Assumptions behind the figure</w:t>
          </w:r>
          <w:r>
            <w:rPr>
              <w:rFonts w:ascii="Arial" w:hAnsi="Arial" w:cs="Arial"/>
              <w:color w:val="222222"/>
              <w:sz w:val="21"/>
            </w:rPr>
            <w:tab/>
            <w:t>4</w:t>
          </w:r>
        </w:p>
        <w:p>
          <w:pPr>
            <w:tabs>
              <w:tab w:val="right" w:leader="dot" w:pos="9360"/>
            </w:tabs>
            <w:spacing w:after="100"/>
          </w:pPr>
          <w:r>
            <w:rPr>
              <w:rFonts w:ascii="Arial" w:hAnsi="Arial" w:cs="Arial"/>
              <w:color w:val="222222"/>
              <w:sz w:val="21"/>
            </w:rPr>
            <w:t xml:space="preserve">5  Not included — priced on request</w:t>
          </w:r>
          <w:r>
            <w:rPr>
              <w:rFonts w:ascii="Arial" w:hAnsi="Arial" w:cs="Arial"/>
              <w:color w:val="222222"/>
              <w:sz w:val="21"/>
            </w:rPr>
            <w:tab/>
            <w:t>4</w:t>
          </w:r>
        </w:p>
        <w:p>
          <w:pPr>
            <w:tabs>
              <w:tab w:val="right" w:leader="dot" w:pos="9360"/>
            </w:tabs>
            <w:spacing w:after="100"/>
          </w:pPr>
          <w:r>
            <w:rPr>
              <w:rFonts w:ascii="Arial" w:hAnsi="Arial" w:cs="Arial"/>
              <w:color w:val="222222"/>
              <w:sz w:val="21"/>
            </w:rPr>
            <w:t xml:space="preserve">6  Validity and next steps</w:t>
          </w:r>
          <w:r>
            <w:rPr>
              <w:rFonts w:ascii="Arial" w:hAnsi="Arial" w:cs="Arial"/>
              <w:color w:val="222222"/>
              <w:sz w:val="21"/>
            </w:rPr>
            <w:tab/>
            <w:t>4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F44"/>
          <w:sz w:val="30"/>
          <w:szCs w:val="30"/>
        </w:rPr>
        <w:t xml:space="preserve">1  The estimate, in one line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Five engineers on the Enterprise tier for a year is $120,000 — $2,000 per seat per month — with two reviewer seats, onboarding and every Enterprise feature included.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is a rough order of magnitude for budgeting, not a quotation. Read it as ±25% — $90,000 to $150,000 — with $120,000 the figure we expect to quote once Radia confirms the assumptions in section 4. Prices are in US dollars and exclude taxes.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F44"/>
          <w:sz w:val="30"/>
          <w:szCs w:val="30"/>
        </w:rPr>
        <w:t xml:space="preserve">2  ROM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800"/>
        <w:gridCol w:w="2100"/>
        <w:gridCol w:w="1300"/>
        <w:gridCol w:w="1460"/>
      </w:tblGrid>
      <w:tr>
        <w:trPr>
          <w:tblHeader/>
        </w:trPr>
        <w:tc>
          <w:tcPr>
            <w:tcW w:type="dxa" w:w="37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A1F4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 item</w:t>
            </w:r>
          </w:p>
        </w:tc>
        <w:tc>
          <w:tcPr>
            <w:tcW w:type="dxa" w:w="8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A1F4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21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A1F4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price</w:t>
            </w:r>
          </w:p>
        </w:tc>
        <w:tc>
          <w:tcPr>
            <w:tcW w:type="dxa" w:w="1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A1F4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14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A1F4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First year</w:t>
            </w:r>
          </w:p>
        </w:tc>
      </w:tr>
      <w:tr>
        <w:tc>
          <w:tcPr>
            <w:tcW w:type="dxa" w:w="37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Enterprise seat — named engineer, full write access, AI drafting</w:t>
            </w:r>
          </w:p>
        </w:tc>
        <w:tc>
          <w:tcPr>
            <w:tcW w:type="dxa" w:w="8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$2,000 / seat / month</w:t>
            </w:r>
          </w:p>
        </w:tc>
        <w:tc>
          <w:tcPr>
            <w:tcW w:type="dxa" w:w="1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 months</w:t>
            </w:r>
          </w:p>
        </w:tc>
        <w:tc>
          <w:tcPr>
            <w:tcW w:type="dxa" w:w="14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$120,000</w:t>
            </w:r>
          </w:p>
        </w:tc>
      </w:tr>
      <w:tr>
        <w:tc>
          <w:tcPr>
            <w:tcW w:type="dxa" w:w="37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Reviewer seat — read-only: browse, comment, export; no editing, no AI</w:t>
            </w:r>
          </w:p>
        </w:tc>
        <w:tc>
          <w:tcPr>
            <w:tcW w:type="dxa" w:w="8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charge</w:t>
            </w:r>
          </w:p>
        </w:tc>
        <w:tc>
          <w:tcPr>
            <w:tcW w:type="dxa" w:w="1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 months</w:t>
            </w:r>
          </w:p>
        </w:tc>
        <w:tc>
          <w:tcPr>
            <w:tcW w:type="dxa" w:w="14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7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Onboarding and workspace setup — one remote or on-site session</w:t>
            </w:r>
          </w:p>
        </w:tc>
        <w:tc>
          <w:tcPr>
            <w:tcW w:type="dxa" w:w="8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Included</w:t>
            </w:r>
          </w:p>
        </w:tc>
        <w:tc>
          <w:tcPr>
            <w:tcW w:type="dxa" w:w="1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7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ROM total, first year</w:t>
            </w:r>
          </w:p>
        </w:tc>
        <w:tc>
          <w:tcPr>
            <w:tcW w:type="dxa" w:w="8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A1F44"/>
                <w:sz w:val="20"/>
                <w:szCs w:val="20"/>
              </w:rPr>
              <w:t xml:space="preserve">$120,000</w:t>
            </w:r>
          </w:p>
        </w:tc>
      </w:tr>
    </w:tbl>
    <w:p>
      <w:pPr>
        <w:spacing w:after="120" w:before="160" w:line="264"/>
        <w:jc w:val="both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What moves the number.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Seat count is the only significant driver: each engineer seat is $24,000 a year. Projects, programs, reviewer seats and AI usage do not change it. A multi-year term lowers the yearly figure; a short pilot (for example two seats for three months) is available at the monthly rate if Radia prefers to evaluate first.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F44"/>
          <w:sz w:val="30"/>
          <w:szCs w:val="30"/>
        </w:rPr>
        <w:t xml:space="preserve">3  What an Enterprise seat includes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One workspace, the complete ARP4761A / ARP4754B safety-assessment workflow, and every analysis linked to the one above it — the golden thread. Each engineer seat gives full working access to: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Functional hazard assessment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aircraft and system functional decomposition, failure condition identification, and aircraft- and system-level FHA with severity classification against the project's own certification basis (Part 25, Part 23, Part 27/29, SC-VTOL).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Preliminary and final safety assessment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the interdependence table, the minimum acceptable configuration (MAC), combined functional failure effects (CoFFE), and multi-system fault trees compiled from that model rather than drawn by hand — the tree logic is derived, and the numbers are never a model's opinion.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The parallel analyses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FMEA (functional and piece-part), particular risk, zonal and common mode analysis, requirements capture with traceability, and the human-factors lanes.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AI-assisted drafting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every analysis above can be drafted by the AI from Radia's design description. The AI proposes, the deterministic engine computes, and a qualified engineer decides: nothing enters the analysis until a person accepts it, and every accepted row records its source, the model and the reasoning. The AI is an accelerator, never a dependency — the whole workflow runs without it.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Evidence and integrity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an assumptions register with validation and verification tracking and "what rests on this assumption" traceability; built-in integrity checks across the thread; Excel and PDF exports for reviews and reports.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Enterprise features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Microsoft Entra ID single sign-on, ITAR-compliant AI routing, cloud persistence with project history, and an uncapped AI allowance for the seats.</w:t>
      </w:r>
    </w:p>
    <w:p>
      <w:pPr>
        <w:spacing w:after="120" w:before="80" w:line="264"/>
        <w:jc w:val="both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Reviewer seats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give program management, certification staff and customers read access to the live analyses — browsing, commenting and exporting — with no editing and no AI drafting. Two are included; more are available on request.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F44"/>
          <w:sz w:val="30"/>
          <w:szCs w:val="30"/>
        </w:rPr>
        <w:t xml:space="preserve">4  Assumptions behind the figure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Named seats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each engineer seat is assigned to a person and can be reassigned when someone leaves the program.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Term and billing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12 months from go-live, billed annually in advance. Monthly billing at the same per-seat rate can be confirmed in the quote.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Workspace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one Radia workspace with any number of projects and aircraft programs in it.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AI service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drafting runs on Safety Lab Aero's hosted AI service under the Enterprise allowance; Radia supplies no AI keys or infrastructure. ITAR routing is switched on if Radia's data classification requires it, at no extra charge.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Onboarding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one remote or on-site session, at Radia's choice: workspace setup, SSO connection, and a walkthrough of the workflow on a Radia design description. Travel for an on-site session is billed at cost.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Support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standard Enterprise support — email, business hours, Mountain Time. A response-time commitment can be written into the quote if Radia needs one.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Taxes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prices exclude sales tax, VAT or withholding where applicable.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F44"/>
          <w:sz w:val="30"/>
          <w:szCs w:val="30"/>
        </w:rPr>
        <w:t xml:space="preserve">5  Not included — priced on request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Additional engineer seats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$2,000 per seat per month, pro-rated to the term end date.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Further training and facilitated workshops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beyond the onboarding session — for example a guided first FHA or PASA on a Radia program.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Safety-assessment services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analysis or independent review performed by Safety Lab Aero engineers, as distinct from use of the tool.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Custom integrations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beyond the standard importers — Excel/CSV, SysML, ReqIF (DOORS, Polarion), Jama — and custom report templates.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Multi-year terms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 two- or three-year commitment carries a term discount, stated in the quote.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F44"/>
          <w:sz w:val="30"/>
          <w:szCs w:val="30"/>
        </w:rPr>
        <w:t xml:space="preserve">6  Validity and next steps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ROM is valid for 60 days from the date on the cover, for budgetary purposes only; it is not an offer capable of acceptance. The firm quotation restates scope, price and terms and carries its own validity period. To get there:</w:t>
      </w:r>
    </w:p>
    <w:p>
      <w:pPr>
        <w:pStyle w:val="ListParagraph"/>
        <w:numPr>
          <w:ilvl w:val="0"/>
          <w:numId w:val="4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Confirm the assumptions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seat count, term, billing and the onboarding format — a reply to this document is enough.</w:t>
      </w:r>
    </w:p>
    <w:p>
      <w:pPr>
        <w:pStyle w:val="ListParagraph"/>
        <w:numPr>
          <w:ilvl w:val="0"/>
          <w:numId w:val="4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Choose a start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go-live can be within a week of signature; seats are provisioned against Radia's Entra ID tenant.</w:t>
      </w:r>
    </w:p>
    <w:p>
      <w:pPr>
        <w:pStyle w:val="ListParagraph"/>
        <w:numPr>
          <w:ilvl w:val="0"/>
          <w:numId w:val="4"/>
        </w:numPr>
        <w:spacing w:after="50" w:line="259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Receive the quotation —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 firm quote and the Enterprise agreement follow within five business days of confirmation.</w:t>
      </w:r>
    </w:p>
    <w:p>
      <w:pPr>
        <w:spacing w:after="0" w:before="160" w:line="264"/>
        <w:jc w:val="both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Questions and confirmation: </w:t>
      </w:r>
      <w:r>
        <w:rPr>
          <w:rFonts w:ascii="Arial" w:cs="Arial" w:eastAsia="Arial" w:hAnsi="Arial"/>
          <w:color w:val="0B5FA5"/>
          <w:sz w:val="21"/>
          <w:szCs w:val="21"/>
        </w:rPr>
        <w:t xml:space="preserve">waqas.nafees@safetylabaero.com</w:t>
      </w:r>
      <w:r>
        <w:rPr>
          <w:rFonts w:ascii="Arial" w:cs="Arial" w:eastAsia="Arial" w:hAnsi="Arial"/>
          <w:color w:val="5B6472"/>
          <w:sz w:val="21"/>
          <w:szCs w:val="21"/>
        </w:rPr>
        <w:t xml:space="preserve">  ·  safetylabaero.com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left" w:pos="4200"/>
      </w:tabs>
    </w:pPr>
    <w:r>
      <w:rPr>
        <w:rFonts w:ascii="Arial" w:cs="Arial" w:eastAsia="Arial" w:hAnsi="Arial"/>
        <w:color w:val="5B6472"/>
        <w:sz w:val="16"/>
        <w:szCs w:val="16"/>
      </w:rPr>
      <w:t xml:space="preserve">SLA-ROM-001 v1.0  ·  CONFIDENTIAL</w:t>
    </w:r>
    <w:r>
      <w:rPr>
        <w:rFonts w:ascii="Arial" w:cs="Arial" w:eastAsia="Arial" w:hAnsi="Arial"/>
        <w:color w:val="5B6472"/>
        <w:sz w:val="16"/>
        <w:szCs w:val="16"/>
      </w:rPr>
      <w:t xml:space="preserve">	Page </w:t>
    </w:r>
    <w:r>
      <w:rPr>
        <w:rFonts w:ascii="Arial" w:cs="Arial" w:eastAsia="Arial" w:hAnsi="Arial"/>
        <w:color w:val="5B6472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472"/>
        <w:sz w:val="16"/>
        <w:szCs w:val="16"/>
      </w:rPr>
      <w:t xml:space="preserve"> of </w:t>
    </w:r>
    <w:r>
      <w:rPr>
        <w:rFonts w:ascii="Arial" w:cs="Arial" w:eastAsia="Arial" w:hAnsi="Arial"/>
        <w:color w:val="5B6472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0" w:sz="4" w:space="2"/>
      </w:pBdr>
      <w:tabs>
        <w:tab w:val="left" w:pos="4200"/>
      </w:tabs>
    </w:pPr>
    <w:r>
      <w:rPr>
        <w:rFonts w:ascii="Arial" w:cs="Arial" w:eastAsia="Arial" w:hAnsi="Arial"/>
        <w:b/>
        <w:bCs/>
        <w:color w:val="0A1F44"/>
        <w:sz w:val="16"/>
        <w:szCs w:val="16"/>
      </w:rPr>
      <w:t xml:space="preserve">Safety Lab Aero</w:t>
    </w:r>
    <w:r>
      <w:rPr>
        <w:rFonts w:ascii="Arial" w:cs="Arial" w:eastAsia="Arial" w:hAnsi="Arial"/>
        <w:color w:val="5B6472"/>
        <w:sz w:val="16"/>
        <w:szCs w:val="16"/>
      </w:rPr>
      <w:t xml:space="preserve">	ROM — Radia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90" w:before="200"/>
      <w:outlineLvl w:val="0"/>
    </w:pPr>
    <w:rPr>
      <w:rFonts w:ascii="Arial" w:cs="Arial" w:eastAsia="Arial" w:hAnsi="Arial"/>
      <w:b/>
      <w:bCs/>
      <w:color w:val="0A1F4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00"/>
      <w:outlineLvl w:val="1"/>
    </w:pPr>
    <w:rPr>
      <w:rFonts w:ascii="Arial" w:cs="Arial" w:eastAsia="Arial" w:hAnsi="Arial"/>
      <w:b/>
      <w:bCs/>
      <w:color w:val="0B5FA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b75eb8da4595e4c8cfecca1af95ea256ca94b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2026-09-04T17:40:11.037Z</dcterms:created>
  <dcterms:modified xsi:type="dcterms:W3CDTF">2026-09-04T17:40:11.038Z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