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52500" cy="952500"/>
                    </a:xfrm>
                    <a:prstGeom prst="rect">
                      <a:avLst/>
                    </a:prstGeom>
                  </pic:spPr>
                </pic:pic>
              </a:graphicData>
            </a:graphic>
          </wp:inline>
        </w:drawing>
      </w:r>
    </w:p>
    <w:p>
      <w:pPr>
        <w:spacing w:after="0" w:before="130"/>
        <w:jc w:val="center"/>
      </w:pPr>
      <w:r>
        <w:rPr>
          <w:b/>
          <w:bCs/>
          <w:color w:val="1B2A4A"/>
          <w:sz w:val="26"/>
          <w:szCs w:val="26"/>
        </w:rPr>
        <w:t xml:space="preserve">Safety Lab</w:t>
      </w:r>
    </w:p>
    <w:p>
      <w:pPr>
        <w:spacing w:after="0" w:before="420"/>
        <w:jc w:val="center"/>
      </w:pPr>
      <w:r>
        <w:rPr>
          <w:b/>
          <w:bCs/>
          <w:color w:val="11182A"/>
          <w:sz w:val="48"/>
          <w:szCs w:val="48"/>
        </w:rPr>
        <w:t xml:space="preserve">Self-Hosted Deployment Guide</w:t>
      </w:r>
    </w:p>
    <w:p>
      <w:pPr>
        <w:spacing w:after="0" w:before="170"/>
        <w:jc w:val="center"/>
      </w:pPr>
      <w:r>
        <w:rPr>
          <w:color w:val="4E63D8"/>
          <w:sz w:val="22"/>
          <w:szCs w:val="22"/>
        </w:rPr>
        <w:t xml:space="preserve">Run Safety Lab Aero entirely on your own infrastructure — your data never touches Safety Lab</w:t>
      </w:r>
    </w:p>
    <w:p>
      <w:pPr>
        <w:spacing w:after="0" w:before="120"/>
        <w:jc w:val="center"/>
      </w:pPr>
      <w:r>
        <w:rPr>
          <w:i/>
          <w:iCs/>
          <w:color w:val="5A6B7B"/>
          <w:sz w:val="18"/>
          <w:szCs w:val="18"/>
        </w:rPr>
        <w:t xml:space="preserve">safetylabaero.com</w:t>
      </w:r>
    </w:p>
    <w:p>
      <w:pPr>
        <w:spacing w:before="560"/>
      </w:pPr>
    </w:p>
    <w:tbl>
      <w:tblPr>
        <w:tblW w:type="dxa" w:w="690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4600"/>
      </w:tblGrid>
      <w:tr>
        <w:tc>
          <w:tcPr>
            <w:tcW w:type="dxa" w:w="2300"/>
            <w:shd w:fill="EEF2F7" w:color="auto" w:val="clear"/>
            <w:tcMar>
              <w:top w:type="dxa" w:w="60"/>
              <w:left w:type="dxa" w:w="90"/>
              <w:bottom w:type="dxa" w:w="60"/>
              <w:right w:type="dxa" w:w="90"/>
            </w:tcMar>
          </w:tcPr>
          <w:p>
            <w:r>
              <w:rPr>
                <w:b w:val="false"/>
                <w:bCs w:val="false"/>
                <w:color w:val="222222"/>
                <w:sz w:val="19"/>
                <w:szCs w:val="19"/>
              </w:rPr>
              <w:t xml:space="preserve">Document No.</w:t>
            </w:r>
          </w:p>
        </w:tc>
        <w:tc>
          <w:tcPr>
            <w:tcW w:type="dxa" w:w="4600"/>
            <w:tcMar>
              <w:top w:type="dxa" w:w="60"/>
              <w:left w:type="dxa" w:w="90"/>
              <w:bottom w:type="dxa" w:w="60"/>
              <w:right w:type="dxa" w:w="90"/>
            </w:tcMar>
          </w:tcPr>
          <w:p>
            <w:r>
              <w:rPr>
                <w:b w:val="false"/>
                <w:bCs w:val="false"/>
                <w:color w:val="222222"/>
                <w:sz w:val="19"/>
                <w:szCs w:val="19"/>
              </w:rPr>
              <w:t xml:space="preserve">SL-DG-0001</w:t>
            </w:r>
          </w:p>
        </w:tc>
      </w:tr>
      <w:tr>
        <w:tc>
          <w:tcPr>
            <w:tcW w:type="dxa" w:w="2300"/>
            <w:shd w:fill="EEF2F7" w:color="auto" w:val="clear"/>
            <w:tcMar>
              <w:top w:type="dxa" w:w="60"/>
              <w:left w:type="dxa" w:w="90"/>
              <w:bottom w:type="dxa" w:w="60"/>
              <w:right w:type="dxa" w:w="90"/>
            </w:tcMar>
          </w:tcPr>
          <w:p>
            <w:r>
              <w:rPr>
                <w:b w:val="false"/>
                <w:bCs w:val="false"/>
                <w:color w:val="222222"/>
                <w:sz w:val="19"/>
                <w:szCs w:val="19"/>
              </w:rPr>
              <w:t xml:space="preserve">Title</w:t>
            </w:r>
          </w:p>
        </w:tc>
        <w:tc>
          <w:tcPr>
            <w:tcW w:type="dxa" w:w="4600"/>
            <w:tcMar>
              <w:top w:type="dxa" w:w="60"/>
              <w:left w:type="dxa" w:w="90"/>
              <w:bottom w:type="dxa" w:w="60"/>
              <w:right w:type="dxa" w:w="90"/>
            </w:tcMar>
          </w:tcPr>
          <w:p>
            <w:r>
              <w:rPr>
                <w:b w:val="false"/>
                <w:bCs w:val="false"/>
                <w:color w:val="222222"/>
                <w:sz w:val="19"/>
                <w:szCs w:val="19"/>
              </w:rPr>
              <w:t xml:space="preserve">Safety Lab Aero — Self-Hosted Deployment Guide</w:t>
            </w:r>
          </w:p>
        </w:tc>
      </w:tr>
      <w:tr>
        <w:tc>
          <w:tcPr>
            <w:tcW w:type="dxa" w:w="2300"/>
            <w:shd w:fill="EEF2F7" w:color="auto" w:val="clear"/>
            <w:tcMar>
              <w:top w:type="dxa" w:w="60"/>
              <w:left w:type="dxa" w:w="90"/>
              <w:bottom w:type="dxa" w:w="60"/>
              <w:right w:type="dxa" w:w="90"/>
            </w:tcMar>
          </w:tcPr>
          <w:p>
            <w:r>
              <w:rPr>
                <w:b w:val="false"/>
                <w:bCs w:val="false"/>
                <w:color w:val="222222"/>
                <w:sz w:val="19"/>
                <w:szCs w:val="19"/>
              </w:rPr>
              <w:t xml:space="preserve">Revision</w:t>
            </w:r>
          </w:p>
        </w:tc>
        <w:tc>
          <w:tcPr>
            <w:tcW w:type="dxa" w:w="4600"/>
            <w:tcMar>
              <w:top w:type="dxa" w:w="60"/>
              <w:left w:type="dxa" w:w="90"/>
              <w:bottom w:type="dxa" w:w="60"/>
              <w:right w:type="dxa" w:w="90"/>
            </w:tcMar>
          </w:tcPr>
          <w:p>
            <w:r>
              <w:rPr>
                <w:b w:val="false"/>
                <w:bCs w:val="false"/>
                <w:color w:val="222222"/>
                <w:sz w:val="19"/>
                <w:szCs w:val="19"/>
              </w:rPr>
              <w:t xml:space="preserve">1.0</w:t>
            </w:r>
          </w:p>
        </w:tc>
      </w:tr>
      <w:tr>
        <w:tc>
          <w:tcPr>
            <w:tcW w:type="dxa" w:w="2300"/>
            <w:shd w:fill="EEF2F7" w:color="auto" w:val="clear"/>
            <w:tcMar>
              <w:top w:type="dxa" w:w="60"/>
              <w:left w:type="dxa" w:w="90"/>
              <w:bottom w:type="dxa" w:w="60"/>
              <w:right w:type="dxa" w:w="90"/>
            </w:tcMar>
          </w:tcPr>
          <w:p>
            <w:r>
              <w:rPr>
                <w:b w:val="false"/>
                <w:bCs w:val="false"/>
                <w:color w:val="222222"/>
                <w:sz w:val="19"/>
                <w:szCs w:val="19"/>
              </w:rPr>
              <w:t xml:space="preserve">Date</w:t>
            </w:r>
          </w:p>
        </w:tc>
        <w:tc>
          <w:tcPr>
            <w:tcW w:type="dxa" w:w="4600"/>
            <w:tcMar>
              <w:top w:type="dxa" w:w="60"/>
              <w:left w:type="dxa" w:w="90"/>
              <w:bottom w:type="dxa" w:w="60"/>
              <w:right w:type="dxa" w:w="90"/>
            </w:tcMar>
          </w:tcPr>
          <w:p>
            <w:r>
              <w:rPr>
                <w:b w:val="false"/>
                <w:bCs w:val="false"/>
                <w:color w:val="222222"/>
                <w:sz w:val="19"/>
                <w:szCs w:val="19"/>
              </w:rPr>
              <w:t xml:space="preserve">7 September 2026</w:t>
            </w:r>
          </w:p>
        </w:tc>
      </w:tr>
      <w:tr>
        <w:tc>
          <w:tcPr>
            <w:tcW w:type="dxa" w:w="2300"/>
            <w:shd w:fill="EEF2F7" w:color="auto" w:val="clear"/>
            <w:tcMar>
              <w:top w:type="dxa" w:w="60"/>
              <w:left w:type="dxa" w:w="90"/>
              <w:bottom w:type="dxa" w:w="60"/>
              <w:right w:type="dxa" w:w="90"/>
            </w:tcMar>
          </w:tcPr>
          <w:p>
            <w:r>
              <w:rPr>
                <w:b w:val="false"/>
                <w:bCs w:val="false"/>
                <w:color w:val="222222"/>
                <w:sz w:val="19"/>
                <w:szCs w:val="19"/>
              </w:rPr>
              <w:t xml:space="preserve">Prepared by</w:t>
            </w:r>
          </w:p>
        </w:tc>
        <w:tc>
          <w:tcPr>
            <w:tcW w:type="dxa" w:w="4600"/>
            <w:tcMar>
              <w:top w:type="dxa" w:w="60"/>
              <w:left w:type="dxa" w:w="90"/>
              <w:bottom w:type="dxa" w:w="60"/>
              <w:right w:type="dxa" w:w="90"/>
            </w:tcMar>
          </w:tcPr>
          <w:p>
            <w:r>
              <w:rPr>
                <w:b w:val="false"/>
                <w:bCs w:val="false"/>
                <w:color w:val="222222"/>
                <w:sz w:val="19"/>
                <w:szCs w:val="19"/>
              </w:rPr>
              <w:t xml:space="preserve">Safety Lab Aero</w:t>
            </w:r>
          </w:p>
        </w:tc>
      </w:tr>
      <w:tr>
        <w:tc>
          <w:tcPr>
            <w:tcW w:type="dxa" w:w="2300"/>
            <w:shd w:fill="EEF2F7" w:color="auto" w:val="clear"/>
            <w:tcMar>
              <w:top w:type="dxa" w:w="60"/>
              <w:left w:type="dxa" w:w="90"/>
              <w:bottom w:type="dxa" w:w="60"/>
              <w:right w:type="dxa" w:w="90"/>
            </w:tcMar>
          </w:tcPr>
          <w:p>
            <w:r>
              <w:rPr>
                <w:b w:val="false"/>
                <w:bCs w:val="false"/>
                <w:color w:val="222222"/>
                <w:sz w:val="19"/>
                <w:szCs w:val="19"/>
              </w:rPr>
              <w:t xml:space="preserve">Status</w:t>
            </w:r>
          </w:p>
        </w:tc>
        <w:tc>
          <w:tcPr>
            <w:tcW w:type="dxa" w:w="4600"/>
            <w:tcMar>
              <w:top w:type="dxa" w:w="60"/>
              <w:left w:type="dxa" w:w="90"/>
              <w:bottom w:type="dxa" w:w="60"/>
              <w:right w:type="dxa" w:w="90"/>
            </w:tcMar>
          </w:tcPr>
          <w:p>
            <w:r>
              <w:rPr>
                <w:b w:val="false"/>
                <w:bCs w:val="false"/>
                <w:color w:val="222222"/>
                <w:sz w:val="19"/>
                <w:szCs w:val="19"/>
              </w:rPr>
              <w:t xml:space="preserve">Released</w:t>
            </w:r>
          </w:p>
        </w:tc>
      </w:tr>
    </w:tbl>
    <w:p>
      <w:r>
        <w:br w:type="page"/>
      </w:r>
    </w:p>
    <w:p>
      <w:pPr>
        <w:pStyle w:val="Heading1"/>
        <w:spacing w:after="140" w:before="320"/>
      </w:pPr>
      <w:r>
        <w:rPr>
          <w:b/>
          <w:bCs/>
          <w:color w:val="1F3A5F"/>
          <w:sz w:val="30"/>
          <w:szCs w:val="30"/>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7360"/>
      </w:tblGrid>
      <w:tr>
        <w:trPr>
          <w:tblHeader/>
        </w:trPr>
        <w:tc>
          <w:tcPr>
            <w:tcW w:type="dxa" w:w="700"/>
            <w:shd w:fill="1F3A5F" w:color="auto" w:val="clear"/>
            <w:tcMar>
              <w:top w:type="dxa" w:w="60"/>
              <w:left w:type="dxa" w:w="90"/>
              <w:bottom w:type="dxa" w:w="60"/>
              <w:right w:type="dxa" w:w="90"/>
            </w:tcMar>
          </w:tcPr>
          <w:p>
            <w:r>
              <w:rPr>
                <w:b/>
                <w:bCs/>
                <w:color w:val="FFFFFF"/>
                <w:sz w:val="19"/>
                <w:szCs w:val="19"/>
              </w:rPr>
              <w:t xml:space="preserve">Rev</w:t>
            </w:r>
          </w:p>
        </w:tc>
        <w:tc>
          <w:tcPr>
            <w:tcW w:type="dxa" w:w="1300"/>
            <w:shd w:fill="1F3A5F" w:color="auto" w:val="clear"/>
            <w:tcMar>
              <w:top w:type="dxa" w:w="60"/>
              <w:left w:type="dxa" w:w="90"/>
              <w:bottom w:type="dxa" w:w="60"/>
              <w:right w:type="dxa" w:w="90"/>
            </w:tcMar>
          </w:tcPr>
          <w:p>
            <w:r>
              <w:rPr>
                <w:b/>
                <w:bCs/>
                <w:color w:val="FFFFFF"/>
                <w:sz w:val="19"/>
                <w:szCs w:val="19"/>
              </w:rPr>
              <w:t xml:space="preserve">Date</w:t>
            </w:r>
          </w:p>
        </w:tc>
        <w:tc>
          <w:tcPr>
            <w:tcW w:type="dxa" w:w="7360"/>
            <w:shd w:fill="1F3A5F" w:color="auto" w:val="clear"/>
            <w:tcMar>
              <w:top w:type="dxa" w:w="60"/>
              <w:left w:type="dxa" w:w="90"/>
              <w:bottom w:type="dxa" w:w="60"/>
              <w:right w:type="dxa" w:w="90"/>
            </w:tcMar>
          </w:tcPr>
          <w:p>
            <w:r>
              <w:rPr>
                <w:b/>
                <w:bCs/>
                <w:color w:val="FFFFFF"/>
                <w:sz w:val="19"/>
                <w:szCs w:val="19"/>
              </w:rPr>
              <w:t xml:space="preserve">Summary of changes</w:t>
            </w:r>
          </w:p>
        </w:tc>
      </w:tr>
      <w:tr>
        <w:tc>
          <w:tcPr>
            <w:tcW w:type="dxa" w:w="700"/>
            <w:shd w:fill="FFFFFF" w:color="auto" w:val="clear"/>
            <w:tcMar>
              <w:top w:type="dxa" w:w="60"/>
              <w:left w:type="dxa" w:w="90"/>
              <w:bottom w:type="dxa" w:w="60"/>
              <w:right w:type="dxa" w:w="90"/>
            </w:tcMar>
          </w:tcPr>
          <w:p>
            <w:r>
              <w:rPr>
                <w:b w:val="false"/>
                <w:bCs w:val="false"/>
                <w:color w:val="222222"/>
                <w:sz w:val="19"/>
                <w:szCs w:val="19"/>
              </w:rPr>
              <w:t xml:space="preserve">1.0</w:t>
            </w:r>
          </w:p>
        </w:tc>
        <w:tc>
          <w:tcPr>
            <w:tcW w:type="dxa" w:w="1300"/>
            <w:shd w:fill="FFFFFF" w:color="auto" w:val="clear"/>
            <w:tcMar>
              <w:top w:type="dxa" w:w="60"/>
              <w:left w:type="dxa" w:w="90"/>
              <w:bottom w:type="dxa" w:w="60"/>
              <w:right w:type="dxa" w:w="90"/>
            </w:tcMar>
          </w:tcPr>
          <w:p>
            <w:r>
              <w:rPr>
                <w:b w:val="false"/>
                <w:bCs w:val="false"/>
                <w:color w:val="222222"/>
                <w:sz w:val="19"/>
                <w:szCs w:val="19"/>
              </w:rPr>
              <w:t xml:space="preserve">7 Sep 2026</w:t>
            </w:r>
          </w:p>
        </w:tc>
        <w:tc>
          <w:tcPr>
            <w:tcW w:type="dxa" w:w="7360"/>
            <w:shd w:fill="FFFFFF" w:color="auto" w:val="clear"/>
            <w:tcMar>
              <w:top w:type="dxa" w:w="60"/>
              <w:left w:type="dxa" w:w="90"/>
              <w:bottom w:type="dxa" w:w="60"/>
              <w:right w:type="dxa" w:w="90"/>
            </w:tcMar>
          </w:tcPr>
          <w:p>
            <w:r>
              <w:rPr>
                <w:b w:val="false"/>
                <w:bCs w:val="false"/>
                <w:color w:val="222222"/>
                <w:sz w:val="19"/>
                <w:szCs w:val="19"/>
              </w:rPr>
              <w:t xml:space="preserve">Initial release. Self-hosted backend (database, AI proxy, app configuration), defense / ITAR GovCloud variant, browser-only mode, and the isolation checklist.</w:t>
            </w:r>
          </w:p>
        </w:tc>
      </w:tr>
    </w:tbl>
    <w:p>
      <w:r>
        <w:br w:type="page"/>
      </w:r>
    </w:p>
    <w:p>
      <w:pPr>
        <w:pStyle w:val="Heading1"/>
        <w:spacing w:after="140" w:before="320"/>
      </w:pPr>
      <w:r>
        <w:rPr>
          <w:b/>
          <w:bCs/>
          <w:color w:val="1F3A5F"/>
          <w:sz w:val="30"/>
          <w:szCs w:val="30"/>
        </w:rPr>
        <w:t xml:space="preserve">Contents</w:t>
      </w:r>
    </w:p>
    <w:p>
      <w:pPr>
        <w:tabs>
          <w:tab w:val="right" w:pos="9350" w:leader="dot"/>
        </w:tabs>
        <w:spacing w:after="40" w:line="260"/>
      </w:pPr>
      <w:r>
        <w:rPr>
          <w:b w:val="false"/>
          <w:bCs w:val="false"/>
          <w:color w:val="222222"/>
          <w:sz w:val="21"/>
          <w:szCs w:val="21"/>
        </w:rPr>
        <w:t xml:space="preserve">1   What this sets up</w:t>
      </w:r>
      <w:r>
        <w:rPr>
          <w:color w:val="222222"/>
          <w:sz w:val="21"/>
          <w:szCs w:val="21"/>
        </w:rPr>
        <w:t xml:space="preserve">	4</w:t>
      </w:r>
    </w:p>
    <w:p>
      <w:pPr>
        <w:tabs>
          <w:tab w:val="right" w:pos="9350" w:leader="dot"/>
        </w:tabs>
        <w:spacing w:after="40" w:line="260"/>
      </w:pPr>
      <w:r>
        <w:rPr>
          <w:b w:val="false"/>
          <w:bCs w:val="false"/>
          <w:color w:val="222222"/>
          <w:sz w:val="21"/>
          <w:szCs w:val="21"/>
        </w:rPr>
        <w:t xml:space="preserve">2   The three ways to run it</w:t>
      </w:r>
      <w:r>
        <w:rPr>
          <w:color w:val="222222"/>
          <w:sz w:val="21"/>
          <w:szCs w:val="21"/>
        </w:rPr>
        <w:t xml:space="preserve">	4</w:t>
      </w:r>
    </w:p>
    <w:p>
      <w:pPr>
        <w:tabs>
          <w:tab w:val="right" w:pos="9350" w:leader="dot"/>
        </w:tabs>
        <w:spacing w:after="40" w:line="260"/>
      </w:pPr>
      <w:r>
        <w:rPr>
          <w:b w:val="false"/>
          <w:bCs w:val="false"/>
          <w:color w:val="222222"/>
          <w:sz w:val="21"/>
          <w:szCs w:val="21"/>
        </w:rPr>
        <w:t xml:space="preserve">3   What you need first</w:t>
      </w:r>
      <w:r>
        <w:rPr>
          <w:color w:val="222222"/>
          <w:sz w:val="21"/>
          <w:szCs w:val="21"/>
        </w:rPr>
        <w:t xml:space="preserve">	5</w:t>
      </w:r>
    </w:p>
    <w:p>
      <w:pPr>
        <w:tabs>
          <w:tab w:val="right" w:pos="9350" w:leader="dot"/>
        </w:tabs>
        <w:spacing w:after="40" w:line="260"/>
      </w:pPr>
      <w:r>
        <w:rPr>
          <w:b w:val="false"/>
          <w:bCs w:val="false"/>
          <w:color w:val="222222"/>
          <w:sz w:val="21"/>
          <w:szCs w:val="21"/>
        </w:rPr>
        <w:t xml:space="preserve">4   Step 1 — Stand up the database</w:t>
      </w:r>
      <w:r>
        <w:rPr>
          <w:color w:val="222222"/>
          <w:sz w:val="21"/>
          <w:szCs w:val="21"/>
        </w:rPr>
        <w:t xml:space="preserve">	5</w:t>
      </w:r>
    </w:p>
    <w:p>
      <w:pPr>
        <w:tabs>
          <w:tab w:val="right" w:pos="9350" w:leader="dot"/>
        </w:tabs>
        <w:spacing w:after="40" w:line="260"/>
      </w:pPr>
      <w:r>
        <w:rPr>
          <w:b w:val="false"/>
          <w:bCs w:val="false"/>
          <w:color w:val="222222"/>
          <w:sz w:val="21"/>
          <w:szCs w:val="21"/>
        </w:rPr>
        <w:t xml:space="preserve">5   Step 2 — Deploy the AI proxy</w:t>
      </w:r>
      <w:r>
        <w:rPr>
          <w:color w:val="222222"/>
          <w:sz w:val="21"/>
          <w:szCs w:val="21"/>
        </w:rPr>
        <w:t xml:space="preserve">	6</w:t>
      </w:r>
    </w:p>
    <w:p>
      <w:pPr>
        <w:tabs>
          <w:tab w:val="right" w:pos="9350" w:leader="dot"/>
        </w:tabs>
        <w:spacing w:after="40" w:line="260"/>
      </w:pPr>
      <w:r>
        <w:rPr>
          <w:b w:val="false"/>
          <w:bCs w:val="false"/>
          <w:color w:val="222222"/>
          <w:sz w:val="21"/>
          <w:szCs w:val="21"/>
        </w:rPr>
        <w:t xml:space="preserve">6   Step 3 — Point the app at your backend</w:t>
      </w:r>
      <w:r>
        <w:rPr>
          <w:color w:val="222222"/>
          <w:sz w:val="21"/>
          <w:szCs w:val="21"/>
        </w:rPr>
        <w:t xml:space="preserve">	7</w:t>
      </w:r>
    </w:p>
    <w:p>
      <w:pPr>
        <w:tabs>
          <w:tab w:val="right" w:pos="9350" w:leader="dot"/>
        </w:tabs>
        <w:spacing w:after="40" w:line="260"/>
      </w:pPr>
      <w:r>
        <w:rPr>
          <w:b w:val="false"/>
          <w:bCs w:val="false"/>
          <w:color w:val="222222"/>
          <w:sz w:val="21"/>
          <w:szCs w:val="21"/>
        </w:rPr>
        <w:t xml:space="preserve">7   Step 4 — Load your license and sign in</w:t>
      </w:r>
      <w:r>
        <w:rPr>
          <w:color w:val="222222"/>
          <w:sz w:val="21"/>
          <w:szCs w:val="21"/>
        </w:rPr>
        <w:t xml:space="preserve">	8</w:t>
      </w:r>
    </w:p>
    <w:p>
      <w:pPr>
        <w:tabs>
          <w:tab w:val="right" w:pos="9350" w:leader="dot"/>
        </w:tabs>
        <w:spacing w:after="40" w:line="260"/>
      </w:pPr>
      <w:r>
        <w:rPr>
          <w:b w:val="false"/>
          <w:bCs w:val="false"/>
          <w:color w:val="222222"/>
          <w:sz w:val="21"/>
          <w:szCs w:val="21"/>
        </w:rPr>
        <w:t xml:space="preserve">8   Step 5 — Verify isolation</w:t>
      </w:r>
      <w:r>
        <w:rPr>
          <w:color w:val="222222"/>
          <w:sz w:val="21"/>
          <w:szCs w:val="21"/>
        </w:rPr>
        <w:t xml:space="preserve">	8</w:t>
      </w:r>
    </w:p>
    <w:p>
      <w:pPr>
        <w:tabs>
          <w:tab w:val="right" w:pos="9350" w:leader="dot"/>
        </w:tabs>
        <w:spacing w:after="40" w:line="260"/>
      </w:pPr>
      <w:r>
        <w:rPr>
          <w:b w:val="false"/>
          <w:bCs w:val="false"/>
          <w:color w:val="222222"/>
          <w:sz w:val="21"/>
          <w:szCs w:val="21"/>
        </w:rPr>
        <w:t xml:space="preserve">9   Defense and ITAR (GovCloud)</w:t>
      </w:r>
      <w:r>
        <w:rPr>
          <w:color w:val="222222"/>
          <w:sz w:val="21"/>
          <w:szCs w:val="21"/>
        </w:rPr>
        <w:t xml:space="preserve">	9</w:t>
      </w:r>
    </w:p>
    <w:p>
      <w:pPr>
        <w:tabs>
          <w:tab w:val="right" w:pos="9350" w:leader="dot"/>
        </w:tabs>
        <w:spacing w:after="40" w:line="260"/>
      </w:pPr>
      <w:r>
        <w:rPr>
          <w:b w:val="false"/>
          <w:bCs w:val="false"/>
          <w:color w:val="222222"/>
          <w:sz w:val="21"/>
          <w:szCs w:val="21"/>
        </w:rPr>
        <w:t xml:space="preserve">10   Browser-only mode</w:t>
      </w:r>
      <w:r>
        <w:rPr>
          <w:color w:val="222222"/>
          <w:sz w:val="21"/>
          <w:szCs w:val="21"/>
        </w:rPr>
        <w:t xml:space="preserve">	9</w:t>
      </w:r>
    </w:p>
    <w:p>
      <w:pPr>
        <w:tabs>
          <w:tab w:val="right" w:pos="9350" w:leader="dot"/>
        </w:tabs>
        <w:spacing w:after="40" w:line="260"/>
      </w:pPr>
      <w:r>
        <w:rPr>
          <w:b w:val="false"/>
          <w:bCs w:val="false"/>
          <w:color w:val="222222"/>
          <w:sz w:val="21"/>
          <w:szCs w:val="21"/>
        </w:rPr>
        <w:t xml:space="preserve">11   Optional — automatic invite emails</w:t>
      </w:r>
      <w:r>
        <w:rPr>
          <w:color w:val="222222"/>
          <w:sz w:val="21"/>
          <w:szCs w:val="21"/>
        </w:rPr>
        <w:t xml:space="preserve">	10</w:t>
      </w:r>
    </w:p>
    <w:p>
      <w:pPr>
        <w:tabs>
          <w:tab w:val="right" w:pos="9350" w:leader="dot"/>
        </w:tabs>
        <w:spacing w:after="40" w:line="260"/>
      </w:pPr>
      <w:r>
        <w:rPr>
          <w:b w:val="false"/>
          <w:bCs w:val="false"/>
          <w:color w:val="222222"/>
          <w:sz w:val="21"/>
          <w:szCs w:val="21"/>
        </w:rPr>
        <w:t xml:space="preserve">12   What "done" looks like</w:t>
      </w:r>
      <w:r>
        <w:rPr>
          <w:color w:val="222222"/>
          <w:sz w:val="21"/>
          <w:szCs w:val="21"/>
        </w:rPr>
        <w:t xml:space="preserve">	10</w:t>
      </w:r>
    </w:p>
    <w:p>
      <w:r>
        <w:br w:type="page"/>
      </w:r>
    </w:p>
    <w:p>
      <w:pPr>
        <w:pStyle w:val="Heading1"/>
        <w:spacing w:after="140" w:before="320"/>
      </w:pPr>
      <w:r>
        <w:rPr>
          <w:b/>
          <w:bCs/>
          <w:color w:val="1F3A5F"/>
          <w:sz w:val="30"/>
          <w:szCs w:val="30"/>
        </w:rPr>
        <w:t xml:space="preserve">1  What this sets up</w:t>
      </w:r>
    </w:p>
    <w:p>
      <w:pPr>
        <w:spacing w:after="150" w:line="276"/>
      </w:pPr>
      <w:r>
        <w:rPr>
          <w:i/>
          <w:iCs/>
          <w:color w:val="33475B"/>
          <w:sz w:val="21"/>
          <w:szCs w:val="21"/>
        </w:rPr>
        <w:t xml:space="preserve">When you finish, your project data, your sign-ins, and your AI all live on servers you control. Safety Lab holds nothing and is never in the data path.</w:t>
      </w:r>
    </w:p>
    <w:p>
      <w:pPr>
        <w:spacing w:after="140" w:line="276"/>
        <w:jc w:val="both"/>
      </w:pPr>
      <w:r>
        <w:rPr>
          <w:color w:val="222222"/>
          <w:sz w:val="21"/>
          <w:szCs w:val="21"/>
        </w:rPr>
        <w:t xml:space="preserve">Safety Lab Aero is delivered as files you host yourself: the application, a small database, and a lightweight AI proxy that holds your AI key and checks your license. This guide walks through standing all three up on your own infrastructure. Nothing in these steps sends data to Safety Lab, and the application refuses to start if any setting still points back at us — that refusal is the guardrail that keeps your certification data on your side.</w:t>
      </w:r>
    </w:p>
    <w:p>
      <w:pPr>
        <w:pStyle w:val="Heading1"/>
        <w:spacing w:after="140" w:before="320"/>
      </w:pPr>
      <w:r>
        <w:rPr>
          <w:b/>
          <w:bCs/>
          <w:color w:val="1F3A5F"/>
          <w:sz w:val="30"/>
          <w:szCs w:val="30"/>
        </w:rPr>
        <w:t xml:space="preserve">2  The three ways to run it</w:t>
      </w:r>
    </w:p>
    <w:p>
      <w:pPr>
        <w:spacing w:after="140" w:line="276"/>
        <w:jc w:val="both"/>
      </w:pPr>
      <w:r>
        <w:rPr>
          <w:color w:val="222222"/>
          <w:sz w:val="21"/>
          <w:szCs w:val="21"/>
        </w:rPr>
        <w:t xml:space="preserve">Choose the one that fits how your team works. Most teams use the first.</w:t>
      </w:r>
    </w:p>
    <w:p>
      <w:pPr>
        <w:pStyle w:val="ListParagraph"/>
        <w:numPr>
          <w:ilvl w:val="0"/>
          <w:numId w:val="1"/>
        </w:numPr>
        <w:spacing w:after="90" w:line="276"/>
      </w:pPr>
      <w:r>
        <w:rPr>
          <w:b/>
          <w:bCs/>
          <w:i w:val="false"/>
          <w:iCs w:val="false"/>
          <w:color w:val="222222"/>
          <w:sz w:val="21"/>
          <w:szCs w:val="21"/>
        </w:rPr>
        <w:t xml:space="preserve">Self-hosted backend</w:t>
      </w:r>
      <w:r>
        <w:rPr>
          <w:b w:val="false"/>
          <w:bCs w:val="false"/>
          <w:i w:val="false"/>
          <w:iCs w:val="false"/>
          <w:color w:val="222222"/>
          <w:sz w:val="21"/>
          <w:szCs w:val="21"/>
        </w:rPr>
        <w:t xml:space="preserve"> — your own database, your own sign-in, your own AI. The full product for a team. This is the main path (sections 3–8).</w:t>
      </w:r>
    </w:p>
    <w:p>
      <w:pPr>
        <w:pStyle w:val="ListParagraph"/>
        <w:numPr>
          <w:ilvl w:val="0"/>
          <w:numId w:val="1"/>
        </w:numPr>
        <w:spacing w:after="90" w:line="276"/>
      </w:pPr>
      <w:r>
        <w:rPr>
          <w:b/>
          <w:bCs/>
          <w:i w:val="false"/>
          <w:iCs w:val="false"/>
          <w:color w:val="222222"/>
          <w:sz w:val="21"/>
          <w:szCs w:val="21"/>
        </w:rPr>
        <w:t xml:space="preserve">Desktop application</w:t>
      </w:r>
      <w:r>
        <w:rPr>
          <w:b w:val="false"/>
          <w:bCs w:val="false"/>
          <w:i w:val="false"/>
          <w:iCs w:val="false"/>
          <w:color w:val="222222"/>
          <w:sz w:val="21"/>
          <w:szCs w:val="21"/>
        </w:rPr>
        <w:t xml:space="preserve"> — files on one machine or your own SharePoint / OneDrive, installed from a separate desktop installer. No servers to run.</w:t>
      </w:r>
    </w:p>
    <w:p>
      <w:pPr>
        <w:pStyle w:val="ListParagraph"/>
        <w:numPr>
          <w:ilvl w:val="0"/>
          <w:numId w:val="1"/>
        </w:numPr>
        <w:spacing w:after="90" w:line="276"/>
      </w:pPr>
      <w:r>
        <w:rPr>
          <w:b/>
          <w:bCs/>
          <w:i w:val="false"/>
          <w:iCs w:val="false"/>
          <w:color w:val="222222"/>
          <w:sz w:val="21"/>
          <w:szCs w:val="21"/>
        </w:rPr>
        <w:t xml:space="preserve">Browser-only</w:t>
      </w:r>
      <w:r>
        <w:rPr>
          <w:b w:val="false"/>
          <w:bCs w:val="false"/>
          <w:i w:val="false"/>
          <w:iCs w:val="false"/>
          <w:color w:val="222222"/>
          <w:sz w:val="21"/>
          <w:szCs w:val="21"/>
        </w:rPr>
        <w:t xml:space="preserve"> — the application runs in the browser and keeps everything on that machine. No backend at all (section 10).</w:t>
      </w:r>
    </w:p>
    <w:p>
      <w:pPr>
        <w:spacing w:after="140" w:line="276"/>
        <w:jc w:val="both"/>
      </w:pPr>
      <w:r>
        <w:rPr>
          <w:color w:val="222222"/>
          <w:sz w:val="21"/>
          <w:szCs w:val="21"/>
        </w:rPr>
        <w:t xml:space="preserve">Defense or ITAR programs that must keep everything inside their own cloud use the self-hosted backend with the GovCloud options in section 9.</w:t>
      </w:r>
    </w:p>
    <w:p>
      <w:pPr>
        <w:pStyle w:val="Heading1"/>
        <w:spacing w:after="140" w:before="320"/>
      </w:pPr>
      <w:r>
        <w:rPr>
          <w:b/>
          <w:bCs/>
          <w:color w:val="1F3A5F"/>
          <w:sz w:val="30"/>
          <w:szCs w:val="30"/>
        </w:rPr>
        <w:t xml:space="preserve">3  What you need first</w:t>
      </w:r>
    </w:p>
    <w:p>
      <w:pPr>
        <w:pStyle w:val="ListParagraph"/>
        <w:numPr>
          <w:ilvl w:val="0"/>
          <w:numId w:val="1"/>
        </w:numPr>
        <w:spacing w:after="90" w:line="276"/>
      </w:pPr>
      <w:r>
        <w:rPr>
          <w:b/>
          <w:bCs/>
          <w:i w:val="false"/>
          <w:iCs w:val="false"/>
          <w:color w:val="222222"/>
          <w:sz w:val="21"/>
          <w:szCs w:val="21"/>
        </w:rPr>
        <w:t xml:space="preserve">A database you control.</w:t>
      </w:r>
      <w:r>
        <w:rPr>
          <w:b w:val="false"/>
          <w:bCs w:val="false"/>
          <w:i w:val="false"/>
          <w:iCs w:val="false"/>
          <w:color w:val="222222"/>
          <w:sz w:val="21"/>
          <w:szCs w:val="21"/>
        </w:rPr>
        <w:t xml:space="preserve"> The simplest is a Supabase project in your own organization — it also provides the sign-in and live-updates the application uses. A self-managed PostgreSQL database also works.</w:t>
      </w:r>
    </w:p>
    <w:p>
      <w:pPr>
        <w:pStyle w:val="ListParagraph"/>
        <w:numPr>
          <w:ilvl w:val="0"/>
          <w:numId w:val="1"/>
        </w:numPr>
        <w:spacing w:after="90" w:line="276"/>
      </w:pPr>
      <w:r>
        <w:rPr>
          <w:b/>
          <w:bCs/>
          <w:i w:val="false"/>
          <w:iCs w:val="false"/>
          <w:color w:val="222222"/>
          <w:sz w:val="21"/>
          <w:szCs w:val="21"/>
        </w:rPr>
        <w:t xml:space="preserve">One AI option.</w:t>
      </w:r>
      <w:r>
        <w:rPr>
          <w:b w:val="false"/>
          <w:bCs w:val="false"/>
          <w:i w:val="false"/>
          <w:iCs w:val="false"/>
          <w:color w:val="222222"/>
          <w:sz w:val="21"/>
          <w:szCs w:val="21"/>
        </w:rPr>
        <w:t xml:space="preserve"> Your own Anthropic (Claude) API key, or AWS Bedrock GovCloud, or Azure OpenAI Government (section 9).</w:t>
      </w:r>
    </w:p>
    <w:p>
      <w:pPr>
        <w:pStyle w:val="ListParagraph"/>
        <w:numPr>
          <w:ilvl w:val="0"/>
          <w:numId w:val="1"/>
        </w:numPr>
        <w:spacing w:after="90" w:line="276"/>
      </w:pPr>
      <w:r>
        <w:rPr>
          <w:b/>
          <w:bCs/>
          <w:i w:val="false"/>
          <w:iCs w:val="false"/>
          <w:color w:val="222222"/>
          <w:sz w:val="21"/>
          <w:szCs w:val="21"/>
        </w:rPr>
        <w:t xml:space="preserve">Somewhere to run the AI proxy.</w:t>
      </w:r>
      <w:r>
        <w:rPr>
          <w:b w:val="false"/>
          <w:bCs w:val="false"/>
          <w:i w:val="false"/>
          <w:iCs w:val="false"/>
          <w:color w:val="222222"/>
          <w:sz w:val="21"/>
          <w:szCs w:val="21"/>
        </w:rPr>
        <w:t xml:space="preserve"> A Cloudflare account, or any host that runs Node 18 or later (a container or virtual machine in your own cloud).</w:t>
      </w:r>
    </w:p>
    <w:p>
      <w:pPr>
        <w:pStyle w:val="ListParagraph"/>
        <w:numPr>
          <w:ilvl w:val="0"/>
          <w:numId w:val="1"/>
        </w:numPr>
        <w:spacing w:after="90" w:line="276"/>
      </w:pPr>
      <w:r>
        <w:rPr>
          <w:b/>
          <w:bCs/>
          <w:i w:val="false"/>
          <w:iCs w:val="false"/>
          <w:color w:val="222222"/>
          <w:sz w:val="21"/>
          <w:szCs w:val="21"/>
        </w:rPr>
        <w:t xml:space="preserve">The delivered files and your credentials.</w:t>
      </w:r>
      <w:r>
        <w:rPr>
          <w:b w:val="false"/>
          <w:bCs w:val="false"/>
          <w:i w:val="false"/>
          <w:iCs w:val="false"/>
          <w:color w:val="222222"/>
          <w:sz w:val="21"/>
          <w:szCs w:val="21"/>
        </w:rPr>
        <w:t xml:space="preserve"> The application files and the AI proxy files, your license file, and your public key. Safety Lab provides all four; the public key is safe to share and is not a secret.</w:t>
      </w:r>
    </w:p>
    <w:p>
      <w:pPr>
        <w:pStyle w:val="Heading1"/>
        <w:spacing w:after="140" w:before="320"/>
      </w:pPr>
      <w:r>
        <w:rPr>
          <w:b/>
          <w:bCs/>
          <w:color w:val="1F3A5F"/>
          <w:sz w:val="30"/>
          <w:szCs w:val="30"/>
        </w:rPr>
        <w:t xml:space="preserve">4  Step 1 — Stand up the database</w:t>
      </w:r>
    </w:p>
    <w:p>
      <w:pPr>
        <w:spacing w:after="140" w:line="276"/>
        <w:jc w:val="both"/>
      </w:pPr>
      <w:r>
        <w:rPr>
          <w:color w:val="222222"/>
          <w:sz w:val="21"/>
          <w:szCs w:val="21"/>
        </w:rPr>
        <w:t xml:space="preserve">From the database folder of the delivered kit, run the installer against your database connection string. In Supabase this is under Project Settings, Database, Connection string.</w:t>
      </w:r>
    </w:p>
    <w:p>
      <w:pPr>
        <w:pBdr>
          <w:left w:val="single" w:color="1F3A5F" w:sz="18" w:space="6"/>
        </w:pBdr>
        <w:shd w:fill="F1F3F7" w:color="auto" w:val="clear"/>
        <w:spacing w:after="140" w:before="60" w:line="260"/>
        <w:ind w:left="120"/>
      </w:pPr>
      <w:r>
        <w:rPr>
          <w:rFonts w:ascii="Consolas" w:cs="Consolas" w:eastAsia="Consolas" w:hAnsi="Consolas"/>
          <w:color w:val="1B2A4A"/>
          <w:sz w:val="18"/>
          <w:szCs w:val="18"/>
        </w:rPr>
        <w:t xml:space="preserve">./apply.sh "postgresql://postgres:PASSWORD@db.YOURREF.supabase.co:5432/postgres"</w:t>
      </w:r>
    </w:p>
    <w:p>
      <w:pPr>
        <w:spacing w:after="140" w:line="276"/>
        <w:jc w:val="both"/>
      </w:pPr>
      <w:r>
        <w:rPr>
          <w:color w:val="222222"/>
          <w:sz w:val="21"/>
          <w:szCs w:val="21"/>
        </w:rPr>
        <w:t xml:space="preserve">Then make yourself an administrator (run in the Supabase SQL editor, or with psql):</w:t>
      </w:r>
    </w:p>
    <w:p>
      <w:pPr>
        <w:pBdr>
          <w:left w:val="single" w:color="1F3A5F" w:sz="18" w:space="6"/>
        </w:pBdr>
        <w:shd w:fill="F1F3F7" w:color="auto" w:val="clear"/>
        <w:spacing w:after="140" w:before="60" w:line="260"/>
        <w:ind w:left="120"/>
      </w:pPr>
      <w:r>
        <w:rPr>
          <w:rFonts w:ascii="Consolas" w:cs="Consolas" w:eastAsia="Consolas" w:hAnsi="Consolas"/>
          <w:color w:val="1B2A4A"/>
          <w:sz w:val="18"/>
          <w:szCs w:val="18"/>
        </w:rPr>
        <w:t xml:space="preserve">insert into private.platform_admins(email) values ('you@yourcompany.com');</w:t>
      </w:r>
    </w:p>
    <w:p>
      <w:pPr>
        <w:spacing w:after="140" w:line="276"/>
        <w:jc w:val="both"/>
      </w:pPr>
      <w:r>
        <w:rPr>
          <w:color w:val="222222"/>
          <w:sz w:val="21"/>
          <w:szCs w:val="21"/>
        </w:rPr>
        <w:t xml:space="preserve">Your database is ready. The install starts with an empty administrator list — you just added the first entry — and carries none of Safety Lab’s own settings.</w:t>
      </w:r>
    </w:p>
    <w:p>
      <w:pPr>
        <w:pStyle w:val="Heading1"/>
        <w:spacing w:after="140" w:before="320"/>
      </w:pPr>
      <w:r>
        <w:rPr>
          <w:b/>
          <w:bCs/>
          <w:color w:val="1F3A5F"/>
          <w:sz w:val="30"/>
          <w:szCs w:val="30"/>
        </w:rPr>
        <w:t xml:space="preserve">5  Step 2 — Deploy the AI proxy</w:t>
      </w:r>
    </w:p>
    <w:p>
      <w:pPr>
        <w:spacing w:after="140" w:line="276"/>
        <w:jc w:val="both"/>
      </w:pPr>
      <w:r>
        <w:rPr>
          <w:color w:val="222222"/>
          <w:sz w:val="21"/>
          <w:szCs w:val="21"/>
        </w:rPr>
        <w:t xml:space="preserve">The proxy holds your AI key so the browser never sees it, and it checks your signed license before doing anything. Both ways to run it use the same three settings:</w:t>
      </w:r>
    </w:p>
    <w:p>
      <w:pPr>
        <w:pStyle w:val="ListParagraph"/>
        <w:numPr>
          <w:ilvl w:val="0"/>
          <w:numId w:val="1"/>
        </w:numPr>
        <w:spacing w:after="90" w:line="276"/>
      </w:pPr>
      <w:r>
        <w:rPr>
          <w:b/>
          <w:bCs/>
          <w:i w:val="false"/>
          <w:iCs w:val="false"/>
          <w:color w:val="33475B"/>
          <w:sz w:val="21"/>
          <w:szCs w:val="21"/>
        </w:rPr>
        <w:t xml:space="preserve">LICENSE_MODE</w:t>
      </w:r>
      <w:r>
        <w:rPr>
          <w:b w:val="false"/>
          <w:bCs w:val="false"/>
          <w:i w:val="false"/>
          <w:iCs w:val="false"/>
          <w:color w:val="222222"/>
          <w:sz w:val="21"/>
          <w:szCs w:val="21"/>
        </w:rPr>
        <w:t xml:space="preserve"> set to </w:t>
      </w:r>
      <w:r>
        <w:rPr>
          <w:b w:val="false"/>
          <w:bCs w:val="false"/>
          <w:i w:val="false"/>
          <w:iCs w:val="false"/>
          <w:color w:val="33475B"/>
          <w:sz w:val="21"/>
          <w:szCs w:val="21"/>
        </w:rPr>
        <w:t xml:space="preserve">offline</w:t>
      </w:r>
      <w:r>
        <w:rPr>
          <w:b w:val="false"/>
          <w:bCs w:val="false"/>
          <w:i w:val="false"/>
          <w:iCs w:val="false"/>
          <w:color w:val="222222"/>
          <w:sz w:val="21"/>
          <w:szCs w:val="21"/>
        </w:rPr>
        <w:t xml:space="preserve">.</w:t>
      </w:r>
    </w:p>
    <w:p>
      <w:pPr>
        <w:pStyle w:val="ListParagraph"/>
        <w:numPr>
          <w:ilvl w:val="0"/>
          <w:numId w:val="1"/>
        </w:numPr>
        <w:spacing w:after="90" w:line="276"/>
      </w:pPr>
      <w:r>
        <w:rPr>
          <w:b/>
          <w:bCs/>
          <w:i w:val="false"/>
          <w:iCs w:val="false"/>
          <w:color w:val="33475B"/>
          <w:sz w:val="21"/>
          <w:szCs w:val="21"/>
        </w:rPr>
        <w:t xml:space="preserve">LICENSE_PUBLIC_KEYS</w:t>
      </w:r>
      <w:r>
        <w:rPr>
          <w:b w:val="false"/>
          <w:bCs w:val="false"/>
          <w:i w:val="false"/>
          <w:iCs w:val="false"/>
          <w:color w:val="222222"/>
          <w:sz w:val="21"/>
          <w:szCs w:val="21"/>
        </w:rPr>
        <w:t xml:space="preserve"> — the public-key list Safety Lab gave you (a short JSON array).</w:t>
      </w:r>
    </w:p>
    <w:p>
      <w:pPr>
        <w:pStyle w:val="ListParagraph"/>
        <w:numPr>
          <w:ilvl w:val="0"/>
          <w:numId w:val="1"/>
        </w:numPr>
        <w:spacing w:after="90" w:line="276"/>
      </w:pPr>
      <w:r>
        <w:rPr>
          <w:b/>
          <w:bCs/>
          <w:i w:val="false"/>
          <w:iCs w:val="false"/>
          <w:color w:val="33475B"/>
          <w:sz w:val="21"/>
          <w:szCs w:val="21"/>
        </w:rPr>
        <w:t xml:space="preserve">ANTHROPIC_API_KEY</w:t>
      </w:r>
      <w:r>
        <w:rPr>
          <w:b w:val="false"/>
          <w:bCs w:val="false"/>
          <w:i w:val="false"/>
          <w:iCs w:val="false"/>
          <w:color w:val="222222"/>
          <w:sz w:val="21"/>
          <w:szCs w:val="21"/>
        </w:rPr>
        <w:t xml:space="preserve"> — your own Claude key (ordinary customer).</w:t>
      </w:r>
    </w:p>
    <w:p>
      <w:pPr>
        <w:pStyle w:val="Heading2"/>
        <w:spacing w:after="90" w:before="180"/>
      </w:pPr>
      <w:r>
        <w:rPr>
          <w:b/>
          <w:bCs/>
          <w:color w:val="33475B"/>
          <w:sz w:val="24"/>
          <w:szCs w:val="24"/>
        </w:rPr>
        <w:t xml:space="preserve">Option A — on Cloudflare</w:t>
      </w:r>
    </w:p>
    <w:p>
      <w:pPr>
        <w:spacing w:after="140" w:line="276"/>
        <w:jc w:val="both"/>
      </w:pPr>
      <w:r>
        <w:rPr>
          <w:color w:val="222222"/>
          <w:sz w:val="21"/>
          <w:szCs w:val="21"/>
        </w:rPr>
        <w:t xml:space="preserve">From the proxy folder:</w:t>
      </w:r>
    </w:p>
    <w:p>
      <w:pPr>
        <w:pBdr>
          <w:left w:val="single" w:color="1F3A5F" w:sz="18" w:space="6"/>
        </w:pBdr>
        <w:shd w:fill="F1F3F7" w:color="auto" w:val="clear"/>
        <w:spacing w:after="140" w:before="60" w:line="260"/>
        <w:ind w:left="120"/>
      </w:pPr>
      <w:r>
        <w:rPr>
          <w:rFonts w:ascii="Consolas" w:cs="Consolas" w:eastAsia="Consolas" w:hAnsi="Consolas"/>
          <w:color w:val="1B2A4A"/>
          <w:sz w:val="18"/>
          <w:szCs w:val="18"/>
        </w:rPr>
        <w:t xml:space="preserve">npx wrangler secret put LICENSE_PUBLIC_KEYS</w:t>
      </w:r>
      <w:r>
        <w:br/>
      </w:r>
      <w:r>
        <w:rPr>
          <w:rFonts w:ascii="Consolas" w:cs="Consolas" w:eastAsia="Consolas" w:hAnsi="Consolas"/>
          <w:color w:val="1B2A4A"/>
          <w:sz w:val="18"/>
          <w:szCs w:val="18"/>
        </w:rPr>
        <w:t xml:space="preserve">npx wrangler secret put ANTHROPIC_API_KEY</w:t>
      </w:r>
      <w:r>
        <w:br/>
      </w:r>
      <w:r>
        <w:rPr>
          <w:rFonts w:ascii="Consolas" w:cs="Consolas" w:eastAsia="Consolas" w:hAnsi="Consolas"/>
          <w:color w:val="1B2A4A"/>
          <w:sz w:val="18"/>
          <w:szCs w:val="18"/>
        </w:rPr>
        <w:t xml:space="preserve">npx wrangler deploy</w:t>
      </w:r>
    </w:p>
    <w:p>
      <w:pPr>
        <w:spacing w:after="140" w:line="276"/>
        <w:jc w:val="both"/>
      </w:pPr>
      <w:r>
        <w:rPr>
          <w:b w:val="false"/>
          <w:bCs w:val="false"/>
          <w:i w:val="false"/>
          <w:iCs w:val="false"/>
          <w:color w:val="222222"/>
          <w:sz w:val="21"/>
          <w:szCs w:val="21"/>
        </w:rPr>
        <w:t xml:space="preserve">Set </w:t>
      </w:r>
      <w:r>
        <w:rPr>
          <w:b w:val="false"/>
          <w:bCs w:val="false"/>
          <w:i w:val="false"/>
          <w:iCs w:val="false"/>
          <w:color w:val="33475B"/>
          <w:sz w:val="21"/>
          <w:szCs w:val="21"/>
        </w:rPr>
        <w:t xml:space="preserve">LICENSE_MODE=offline</w:t>
      </w:r>
      <w:r>
        <w:rPr>
          <w:b w:val="false"/>
          <w:bCs w:val="false"/>
          <w:i w:val="false"/>
          <w:iCs w:val="false"/>
          <w:color w:val="222222"/>
          <w:sz w:val="21"/>
          <w:szCs w:val="21"/>
        </w:rPr>
        <w:t xml:space="preserve"> as a plain variable in the proxy configuration, then note the address Cloudflare gives you.</w:t>
      </w:r>
    </w:p>
    <w:p>
      <w:pPr>
        <w:pStyle w:val="Heading2"/>
        <w:spacing w:after="90" w:before="180"/>
      </w:pPr>
      <w:r>
        <w:rPr>
          <w:b/>
          <w:bCs/>
          <w:color w:val="33475B"/>
          <w:sz w:val="24"/>
          <w:szCs w:val="24"/>
        </w:rPr>
        <w:t xml:space="preserve">Option B — as a standalone service (your own cloud)</w:t>
      </w:r>
    </w:p>
    <w:p>
      <w:pPr>
        <w:spacing w:after="140" w:line="276"/>
        <w:jc w:val="both"/>
      </w:pPr>
      <w:r>
        <w:rPr>
          <w:color w:val="222222"/>
          <w:sz w:val="21"/>
          <w:szCs w:val="21"/>
        </w:rPr>
        <w:t xml:space="preserve">Anywhere that runs Node 18 or later — a container or virtual machine inside your own network:</w:t>
      </w:r>
    </w:p>
    <w:p>
      <w:pPr>
        <w:pBdr>
          <w:left w:val="single" w:color="1F3A5F" w:sz="18" w:space="6"/>
        </w:pBdr>
        <w:shd w:fill="F1F3F7" w:color="auto" w:val="clear"/>
        <w:spacing w:after="140" w:before="60" w:line="260"/>
        <w:ind w:left="120"/>
      </w:pPr>
      <w:r>
        <w:rPr>
          <w:rFonts w:ascii="Consolas" w:cs="Consolas" w:eastAsia="Consolas" w:hAnsi="Consolas"/>
          <w:color w:val="1B2A4A"/>
          <w:sz w:val="18"/>
          <w:szCs w:val="18"/>
        </w:rPr>
        <w:t xml:space="preserve">cp .env.example .env      # fill in LICENSE_MODE=offline, LICENSE_PUBLIC_KEYS, ANTHROPIC_API_KEY</w:t>
      </w:r>
      <w:r>
        <w:br/>
      </w:r>
      <w:r>
        <w:rPr>
          <w:rFonts w:ascii="Consolas" w:cs="Consolas" w:eastAsia="Consolas" w:hAnsi="Consolas"/>
          <w:color w:val="1B2A4A"/>
          <w:sz w:val="18"/>
          <w:szCs w:val="18"/>
        </w:rPr>
        <w:t xml:space="preserve">node server.mjs           # listens on :8787</w:t>
      </w:r>
    </w:p>
    <w:p>
      <w:pPr>
        <w:spacing w:after="140" w:line="276"/>
        <w:jc w:val="both"/>
      </w:pPr>
      <w:r>
        <w:rPr>
          <w:color w:val="222222"/>
          <w:sz w:val="21"/>
          <w:szCs w:val="21"/>
        </w:rPr>
        <w:t xml:space="preserve">Put it behind your normal HTTPS front door and note that address.</w:t>
      </w:r>
    </w:p>
    <w:p>
      <w:pPr>
        <w:spacing w:after="140" w:line="276"/>
        <w:jc w:val="both"/>
      </w:pPr>
      <w:r>
        <w:rPr>
          <w:b w:val="false"/>
          <w:bCs w:val="false"/>
          <w:i w:val="false"/>
          <w:iCs w:val="false"/>
          <w:color w:val="222222"/>
          <w:sz w:val="21"/>
          <w:szCs w:val="21"/>
        </w:rPr>
        <w:t xml:space="preserve">Confirm it is alive: a request to </w:t>
      </w:r>
      <w:r>
        <w:rPr>
          <w:b w:val="false"/>
          <w:bCs w:val="false"/>
          <w:i w:val="false"/>
          <w:iCs w:val="false"/>
          <w:color w:val="33475B"/>
          <w:sz w:val="21"/>
          <w:szCs w:val="21"/>
        </w:rPr>
        <w:t xml:space="preserve">/v1/ai/health</w:t>
      </w:r>
      <w:r>
        <w:rPr>
          <w:b w:val="false"/>
          <w:bCs w:val="false"/>
          <w:i w:val="false"/>
          <w:iCs w:val="false"/>
          <w:color w:val="222222"/>
          <w:sz w:val="21"/>
          <w:szCs w:val="21"/>
        </w:rPr>
        <w:t xml:space="preserve"> returns </w:t>
      </w:r>
      <w:r>
        <w:rPr>
          <w:b w:val="false"/>
          <w:bCs w:val="false"/>
          <w:i w:val="false"/>
          <w:iCs w:val="false"/>
          <w:color w:val="33475B"/>
          <w:sz w:val="21"/>
          <w:szCs w:val="21"/>
        </w:rPr>
        <w:t xml:space="preserve">{"ok":true}</w:t>
      </w:r>
      <w:r>
        <w:rPr>
          <w:b w:val="false"/>
          <w:bCs w:val="false"/>
          <w:i w:val="false"/>
          <w:iCs w:val="false"/>
          <w:color w:val="222222"/>
          <w:sz w:val="21"/>
          <w:szCs w:val="21"/>
        </w:rPr>
        <w:t xml:space="preserve">.</w:t>
      </w:r>
    </w:p>
    <w:p>
      <w:pPr>
        <w:pStyle w:val="Heading1"/>
        <w:spacing w:after="140" w:before="320"/>
      </w:pPr>
      <w:r>
        <w:rPr>
          <w:b/>
          <w:bCs/>
          <w:color w:val="1F3A5F"/>
          <w:sz w:val="30"/>
          <w:szCs w:val="30"/>
        </w:rPr>
        <w:t xml:space="preserve">6  Step 3 — Point the app at your backend</w:t>
      </w:r>
    </w:p>
    <w:p>
      <w:pPr>
        <w:spacing w:after="140" w:line="276"/>
        <w:jc w:val="both"/>
      </w:pPr>
      <w:r>
        <w:rPr>
          <w:color w:val="222222"/>
          <w:sz w:val="21"/>
          <w:szCs w:val="21"/>
        </w:rPr>
        <w:t xml:space="preserve">Serve the application files from your own web host. Add a short configuration script before the application’s own scripts in the page, filling in your two addresses:</w:t>
      </w:r>
    </w:p>
    <w:p>
      <w:pPr>
        <w:pBdr>
          <w:left w:val="single" w:color="1F3A5F" w:sz="18" w:space="6"/>
        </w:pBdr>
        <w:shd w:fill="F1F3F7" w:color="auto" w:val="clear"/>
        <w:spacing w:after="140" w:before="60" w:line="260"/>
        <w:ind w:left="120"/>
      </w:pPr>
      <w:r>
        <w:rPr>
          <w:rFonts w:ascii="Consolas" w:cs="Consolas" w:eastAsia="Consolas" w:hAnsi="Consolas"/>
          <w:color w:val="1B2A4A"/>
          <w:sz w:val="18"/>
          <w:szCs w:val="18"/>
        </w:rPr>
        <w:t xml:space="preserve">&lt;script&gt;</w:t>
      </w:r>
      <w:r>
        <w:br/>
      </w:r>
      <w:r>
        <w:rPr>
          <w:rFonts w:ascii="Consolas" w:cs="Consolas" w:eastAsia="Consolas" w:hAnsi="Consolas"/>
          <w:color w:val="1B2A4A"/>
          <w:sz w:val="18"/>
          <w:szCs w:val="18"/>
        </w:rPr>
        <w:t xml:space="preserve">  window.__SLAB_SUPABASE_URL__ = "https://YOURREF.supabase.co";</w:t>
      </w:r>
      <w:r>
        <w:br/>
      </w:r>
      <w:r>
        <w:rPr>
          <w:rFonts w:ascii="Consolas" w:cs="Consolas" w:eastAsia="Consolas" w:hAnsi="Consolas"/>
          <w:color w:val="1B2A4A"/>
          <w:sz w:val="18"/>
          <w:szCs w:val="18"/>
        </w:rPr>
        <w:t xml:space="preserve">  window.__SLAB_SUPABASE_KEY__ = "YOUR_SUPABASE_ANON_KEY";</w:t>
      </w:r>
      <w:r>
        <w:br/>
      </w:r>
      <w:r>
        <w:rPr>
          <w:rFonts w:ascii="Consolas" w:cs="Consolas" w:eastAsia="Consolas" w:hAnsi="Consolas"/>
          <w:color w:val="1B2A4A"/>
          <w:sz w:val="18"/>
          <w:szCs w:val="18"/>
        </w:rPr>
        <w:t xml:space="preserve">  window.__SLAB_AI_ENDPOINT__  = "https://your-proxy-address";</w:t>
      </w:r>
      <w:r>
        <w:br/>
      </w:r>
      <w:r>
        <w:rPr>
          <w:rFonts w:ascii="Consolas" w:cs="Consolas" w:eastAsia="Consolas" w:hAnsi="Consolas"/>
          <w:color w:val="1B2A4A"/>
          <w:sz w:val="18"/>
          <w:szCs w:val="18"/>
        </w:rPr>
        <w:t xml:space="preserve">  window.__SLAB_WEB_APP_URL__  = "https://app.yourcompany.com";</w:t>
      </w:r>
      <w:r>
        <w:br/>
      </w:r>
      <w:r>
        <w:rPr>
          <w:rFonts w:ascii="Consolas" w:cs="Consolas" w:eastAsia="Consolas" w:hAnsi="Consolas"/>
          <w:color w:val="1B2A4A"/>
          <w:sz w:val="18"/>
          <w:szCs w:val="18"/>
        </w:rPr>
        <w:t xml:space="preserve">&lt;/script&gt;</w:t>
      </w:r>
    </w:p>
    <w:p>
      <w:pPr>
        <w:spacing w:after="140" w:line="276"/>
        <w:jc w:val="both"/>
      </w:pPr>
      <w:r>
        <w:rPr>
          <w:color w:val="222222"/>
          <w:sz w:val="21"/>
          <w:szCs w:val="21"/>
        </w:rPr>
        <w:t xml:space="preserve">If any of these still points at a Safety Lab address, the application refuses to start and names the setting. That refusal is deliberate: it is what keeps your data off our cloud.</w:t>
      </w:r>
    </w:p>
    <w:p>
      <w:pPr>
        <w:pStyle w:val="Heading1"/>
        <w:spacing w:after="140" w:before="320"/>
      </w:pPr>
      <w:r>
        <w:rPr>
          <w:b/>
          <w:bCs/>
          <w:color w:val="1F3A5F"/>
          <w:sz w:val="30"/>
          <w:szCs w:val="30"/>
        </w:rPr>
        <w:t xml:space="preserve">7  Step 4 — Load your license and sign in</w:t>
      </w:r>
    </w:p>
    <w:p>
      <w:pPr>
        <w:spacing w:after="140" w:line="276"/>
        <w:jc w:val="both"/>
      </w:pPr>
      <w:r>
        <w:rPr>
          <w:color w:val="222222"/>
          <w:sz w:val="21"/>
          <w:szCs w:val="21"/>
        </w:rPr>
        <w:t xml:space="preserve">Open the application. On first run it asks for your license file — load it. Create your account, sign in, and make a test project. Confirm two things: the project appears in your own database tables (not ours), and the AI drafting works — it is going through your proxy to your AI.</w:t>
      </w:r>
    </w:p>
    <w:p>
      <w:pPr>
        <w:pStyle w:val="Heading1"/>
        <w:spacing w:after="140" w:before="320"/>
      </w:pPr>
      <w:r>
        <w:rPr>
          <w:b/>
          <w:bCs/>
          <w:color w:val="1F3A5F"/>
          <w:sz w:val="30"/>
          <w:szCs w:val="30"/>
        </w:rPr>
        <w:t xml:space="preserve">8  Step 5 — Verify isolation</w:t>
      </w:r>
    </w:p>
    <w:p>
      <w:pPr>
        <w:spacing w:after="140" w:line="276"/>
        <w:jc w:val="both"/>
      </w:pPr>
      <w:r>
        <w:rPr>
          <w:b w:val="false"/>
          <w:bCs w:val="false"/>
          <w:i w:val="false"/>
          <w:iCs w:val="false"/>
          <w:color w:val="222222"/>
          <w:sz w:val="21"/>
          <w:szCs w:val="21"/>
        </w:rPr>
        <w:t xml:space="preserve">In the browser console, run </w:t>
      </w:r>
      <w:r>
        <w:rPr>
          <w:b/>
          <w:bCs/>
          <w:i w:val="false"/>
          <w:iCs w:val="false"/>
          <w:color w:val="33475B"/>
          <w:sz w:val="21"/>
          <w:szCs w:val="21"/>
        </w:rPr>
        <w:t xml:space="preserve">SLConfigEgress()</w:t>
      </w:r>
      <w:r>
        <w:rPr>
          <w:b w:val="false"/>
          <w:bCs w:val="false"/>
          <w:i w:val="false"/>
          <w:iCs w:val="false"/>
          <w:color w:val="222222"/>
          <w:sz w:val="21"/>
          <w:szCs w:val="21"/>
        </w:rPr>
        <w:t xml:space="preserve">. It lists every address the application will contact. Every one should be yours — your database, your proxy. If anything shows a Safety Lab address, correct the matching setting from Step 3. When the list is clean, the install is complete.</w:t>
      </w:r>
    </w:p>
    <w:p>
      <w:pPr>
        <w:pStyle w:val="Heading1"/>
        <w:spacing w:after="140" w:before="320"/>
      </w:pPr>
      <w:r>
        <w:rPr>
          <w:b/>
          <w:bCs/>
          <w:color w:val="1F3A5F"/>
          <w:sz w:val="30"/>
          <w:szCs w:val="30"/>
        </w:rPr>
        <w:t xml:space="preserve">9  Defense and ITAR (GovCloud)</w:t>
      </w:r>
    </w:p>
    <w:p>
      <w:pPr>
        <w:spacing w:after="140" w:line="276"/>
        <w:jc w:val="both"/>
      </w:pPr>
      <w:r>
        <w:rPr>
          <w:color w:val="222222"/>
          <w:sz w:val="21"/>
          <w:szCs w:val="21"/>
        </w:rPr>
        <w:t xml:space="preserve">Same as the main path, but run the proxy as the standalone service (Option B) inside your own AWS GovCloud network, and point it at a US-sovereign AI instead of a public key. In the proxy’s environment set one of the following.</w:t>
      </w:r>
    </w:p>
    <w:p>
      <w:pPr>
        <w:pStyle w:val="Heading2"/>
        <w:spacing w:after="90" w:before="180"/>
      </w:pPr>
      <w:r>
        <w:rPr>
          <w:b/>
          <w:bCs/>
          <w:color w:val="33475B"/>
          <w:sz w:val="24"/>
          <w:szCs w:val="24"/>
        </w:rPr>
        <w:t xml:space="preserve">AWS Bedrock GovCloud (Claude — the engine the product was validated on)</w:t>
      </w:r>
    </w:p>
    <w:p>
      <w:pPr>
        <w:pBdr>
          <w:left w:val="single" w:color="1F3A5F" w:sz="18" w:space="6"/>
        </w:pBdr>
        <w:shd w:fill="F1F3F7" w:color="auto" w:val="clear"/>
        <w:spacing w:after="140" w:before="60" w:line="260"/>
        <w:ind w:left="120"/>
      </w:pPr>
      <w:r>
        <w:rPr>
          <w:rFonts w:ascii="Consolas" w:cs="Consolas" w:eastAsia="Consolas" w:hAnsi="Consolas"/>
          <w:color w:val="1B2A4A"/>
          <w:sz w:val="18"/>
          <w:szCs w:val="18"/>
        </w:rPr>
        <w:t xml:space="preserve">ITAR_PROVIDER=bedrock</w:t>
      </w:r>
      <w:r>
        <w:br/>
      </w:r>
      <w:r>
        <w:rPr>
          <w:rFonts w:ascii="Consolas" w:cs="Consolas" w:eastAsia="Consolas" w:hAnsi="Consolas"/>
          <w:color w:val="1B2A4A"/>
          <w:sz w:val="18"/>
          <w:szCs w:val="18"/>
        </w:rPr>
        <w:t xml:space="preserve">AWS_BEDROCK_REGION=us-gov-west-1</w:t>
      </w:r>
      <w:r>
        <w:br/>
      </w:r>
      <w:r>
        <w:rPr>
          <w:rFonts w:ascii="Consolas" w:cs="Consolas" w:eastAsia="Consolas" w:hAnsi="Consolas"/>
          <w:color w:val="1B2A4A"/>
          <w:sz w:val="18"/>
          <w:szCs w:val="18"/>
        </w:rPr>
        <w:t xml:space="preserve">AWS_ACCESS_KEY_ID=...</w:t>
      </w:r>
      <w:r>
        <w:br/>
      </w:r>
      <w:r>
        <w:rPr>
          <w:rFonts w:ascii="Consolas" w:cs="Consolas" w:eastAsia="Consolas" w:hAnsi="Consolas"/>
          <w:color w:val="1B2A4A"/>
          <w:sz w:val="18"/>
          <w:szCs w:val="18"/>
        </w:rPr>
        <w:t xml:space="preserve">AWS_SECRET_ACCESS_KEY=...</w:t>
      </w:r>
      <w:r>
        <w:br/>
      </w:r>
      <w:r>
        <w:rPr>
          <w:rFonts w:ascii="Consolas" w:cs="Consolas" w:eastAsia="Consolas" w:hAnsi="Consolas"/>
          <w:color w:val="1B2A4A"/>
          <w:sz w:val="18"/>
          <w:szCs w:val="18"/>
        </w:rPr>
        <w:t xml:space="preserve">AWS_BEDROCK_MODEL_ID=anthropic.claude-3-5-sonnet-20240620-v1:0</w:t>
      </w:r>
    </w:p>
    <w:p>
      <w:pPr>
        <w:pStyle w:val="Heading2"/>
        <w:spacing w:after="90" w:before="180"/>
      </w:pPr>
      <w:r>
        <w:rPr>
          <w:b/>
          <w:bCs/>
          <w:color w:val="33475B"/>
          <w:sz w:val="24"/>
          <w:szCs w:val="24"/>
        </w:rPr>
        <w:t xml:space="preserve">Azure OpenAI Government</w:t>
      </w:r>
    </w:p>
    <w:p>
      <w:pPr>
        <w:spacing w:after="140" w:line="276"/>
        <w:jc w:val="both"/>
      </w:pPr>
      <w:r>
        <w:rPr>
          <w:b w:val="false"/>
          <w:bCs w:val="false"/>
          <w:i w:val="false"/>
          <w:iCs w:val="false"/>
          <w:color w:val="222222"/>
          <w:sz w:val="21"/>
          <w:szCs w:val="21"/>
        </w:rPr>
        <w:t xml:space="preserve">Set </w:t>
      </w:r>
      <w:r>
        <w:rPr>
          <w:b w:val="false"/>
          <w:bCs w:val="false"/>
          <w:i w:val="false"/>
          <w:iCs w:val="false"/>
          <w:color w:val="33475B"/>
          <w:sz w:val="21"/>
          <w:szCs w:val="21"/>
        </w:rPr>
        <w:t xml:space="preserve">ITAR_PROVIDER=azure</w:t>
      </w:r>
      <w:r>
        <w:rPr>
          <w:b w:val="false"/>
          <w:bCs w:val="false"/>
          <w:i w:val="false"/>
          <w:iCs w:val="false"/>
          <w:color w:val="222222"/>
          <w:sz w:val="21"/>
          <w:szCs w:val="21"/>
        </w:rPr>
        <w:t xml:space="preserve"> and the Azure variables (see the ITAR provisioning notes in the proxy folder).</w:t>
      </w:r>
    </w:p>
    <w:p>
      <w:pPr>
        <w:spacing w:after="140" w:line="276"/>
        <w:jc w:val="both"/>
      </w:pPr>
      <w:r>
        <w:rPr>
          <w:color w:val="222222"/>
          <w:sz w:val="21"/>
          <w:szCs w:val="21"/>
        </w:rPr>
        <w:t xml:space="preserve">If no sovereign backend is configured, a controlled request is refused, never sent to a public model. That refusal is by design. Mark controlled projects as export-controlled in the application; the data fence and this proxy both enforce it.</w:t>
      </w:r>
    </w:p>
    <w:p>
      <w:pPr>
        <w:pStyle w:val="Heading1"/>
        <w:spacing w:after="140" w:before="320"/>
      </w:pPr>
      <w:r>
        <w:rPr>
          <w:b/>
          <w:bCs/>
          <w:color w:val="1F3A5F"/>
          <w:sz w:val="30"/>
          <w:szCs w:val="30"/>
        </w:rPr>
        <w:t xml:space="preserve">10  Browser-only mode</w:t>
      </w:r>
    </w:p>
    <w:p>
      <w:pPr>
        <w:spacing w:after="140" w:line="276"/>
        <w:jc w:val="both"/>
      </w:pPr>
      <w:r>
        <w:rPr>
          <w:color w:val="222222"/>
          <w:sz w:val="21"/>
          <w:szCs w:val="21"/>
        </w:rPr>
        <w:t xml:space="preserve">Serve the application files and set a single value:</w:t>
      </w:r>
    </w:p>
    <w:p>
      <w:pPr>
        <w:pBdr>
          <w:left w:val="single" w:color="1F3A5F" w:sz="18" w:space="6"/>
        </w:pBdr>
        <w:shd w:fill="F1F3F7" w:color="auto" w:val="clear"/>
        <w:spacing w:after="140" w:before="60" w:line="260"/>
        <w:ind w:left="120"/>
      </w:pPr>
      <w:r>
        <w:rPr>
          <w:rFonts w:ascii="Consolas" w:cs="Consolas" w:eastAsia="Consolas" w:hAnsi="Consolas"/>
          <w:color w:val="1B2A4A"/>
          <w:sz w:val="18"/>
          <w:szCs w:val="18"/>
        </w:rPr>
        <w:t xml:space="preserve">&lt;script&gt; window.__SLAB_LOCAL_ONLY__ = true; &lt;/script&gt;</w:t>
      </w:r>
    </w:p>
    <w:p>
      <w:pPr>
        <w:spacing w:after="140" w:line="276"/>
        <w:jc w:val="both"/>
      </w:pPr>
      <w:r>
        <w:rPr>
          <w:color w:val="222222"/>
          <w:sz w:val="21"/>
          <w:szCs w:val="21"/>
        </w:rPr>
        <w:t xml:space="preserve">Everything stays on the user’s machine — and their own SharePoint or OneDrive if they choose to save there. No database, no proxy, nothing on any server. AI is off unless the user supplies their own key directly.</w:t>
      </w:r>
    </w:p>
    <w:p>
      <w:pPr>
        <w:pStyle w:val="Heading1"/>
        <w:spacing w:after="140" w:before="320"/>
      </w:pPr>
      <w:r>
        <w:rPr>
          <w:b/>
          <w:bCs/>
          <w:color w:val="1F3A5F"/>
          <w:sz w:val="30"/>
          <w:szCs w:val="30"/>
        </w:rPr>
        <w:t xml:space="preserve">11  Optional — automatic invite emails</w:t>
      </w:r>
    </w:p>
    <w:p>
      <w:pPr>
        <w:spacing w:after="140" w:line="276"/>
        <w:jc w:val="both"/>
      </w:pPr>
      <w:r>
        <w:rPr>
          <w:color w:val="222222"/>
          <w:sz w:val="21"/>
          <w:szCs w:val="21"/>
        </w:rPr>
        <w:t xml:space="preserve">Not required. Without it, when an administrator invites a teammate the application shows a link to pass along by hand. If you want invitations emailed automatically, deploy the one invite-email function to your database with your own email-provider key. It is the only server-side function a self-hosted install can use, and it is optional.</w:t>
      </w:r>
    </w:p>
    <w:p>
      <w:pPr>
        <w:pStyle w:val="Heading1"/>
        <w:spacing w:after="140" w:before="320"/>
      </w:pPr>
      <w:r>
        <w:rPr>
          <w:b/>
          <w:bCs/>
          <w:color w:val="1F3A5F"/>
          <w:sz w:val="30"/>
          <w:szCs w:val="30"/>
        </w:rPr>
        <w:t xml:space="preserve">12  What "done" looks like</w:t>
      </w:r>
    </w:p>
    <w:p>
      <w:pPr>
        <w:pStyle w:val="ListParagraph"/>
        <w:numPr>
          <w:ilvl w:val="0"/>
          <w:numId w:val="1"/>
        </w:numPr>
        <w:spacing w:after="90" w:line="276"/>
      </w:pPr>
      <w:r>
        <w:rPr>
          <w:color w:val="222222"/>
          <w:sz w:val="21"/>
          <w:szCs w:val="21"/>
        </w:rPr>
        <w:t xml:space="preserve">Your database holds your projects; ours holds nothing.</w:t>
      </w:r>
    </w:p>
    <w:p>
      <w:pPr>
        <w:pStyle w:val="ListParagraph"/>
        <w:numPr>
          <w:ilvl w:val="0"/>
          <w:numId w:val="1"/>
        </w:numPr>
        <w:spacing w:after="90" w:line="276"/>
      </w:pPr>
      <w:r>
        <w:rPr>
          <w:color w:val="222222"/>
          <w:sz w:val="21"/>
          <w:szCs w:val="21"/>
        </w:rPr>
        <w:t xml:space="preserve">Your proxy holds your AI key; the browser never sees it; controlled work never leaves your boundary.</w:t>
      </w:r>
    </w:p>
    <w:p>
      <w:pPr>
        <w:pStyle w:val="ListParagraph"/>
        <w:numPr>
          <w:ilvl w:val="0"/>
          <w:numId w:val="1"/>
        </w:numPr>
        <w:spacing w:after="90" w:line="276"/>
      </w:pPr>
      <w:r>
        <w:rPr>
          <w:b w:val="false"/>
          <w:bCs w:val="false"/>
          <w:i w:val="false"/>
          <w:iCs w:val="false"/>
          <w:color w:val="33475B"/>
          <w:sz w:val="21"/>
          <w:szCs w:val="21"/>
        </w:rPr>
        <w:t xml:space="preserve">SLConfigEgress()</w:t>
      </w:r>
      <w:r>
        <w:rPr>
          <w:b w:val="false"/>
          <w:bCs w:val="false"/>
          <w:i w:val="false"/>
          <w:iCs w:val="false"/>
          <w:color w:val="222222"/>
          <w:sz w:val="21"/>
          <w:szCs w:val="21"/>
        </w:rPr>
        <w:t xml:space="preserve"> lists only your own addresses.</w:t>
      </w:r>
    </w:p>
    <w:p>
      <w:pPr>
        <w:pStyle w:val="ListParagraph"/>
        <w:numPr>
          <w:ilvl w:val="0"/>
          <w:numId w:val="1"/>
        </w:numPr>
        <w:spacing w:after="90" w:line="276"/>
      </w:pPr>
      <w:r>
        <w:rPr>
          <w:color w:val="222222"/>
          <w:sz w:val="21"/>
          <w:szCs w:val="21"/>
        </w:rPr>
        <w:t xml:space="preserve">The application runs, licensed, on your own web host.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B7B"/>
        <w:sz w:val="16"/>
        <w:szCs w:val="16"/>
      </w:rPr>
      <w:t xml:space="preserve">Safety Lab Aero — Confidential   ·   Page </w:t>
    </w:r>
    <w:r>
      <w:rPr>
        <w:color w:val="5A6B7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B7B"/>
        <w:sz w:val="16"/>
        <w:szCs w:val="16"/>
      </w:rPr>
      <w:t xml:space="preserve">SL-DG-0001  ·  Deployment Guide  ·  Rev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1F3A5F"/>
      <w:sz w:val="30"/>
      <w:szCs w:val="30"/>
    </w:rPr>
  </w:style>
  <w:style w:type="paragraph" w:styleId="Heading2">
    <w:name w:val="Heading 2"/>
    <w:basedOn w:val="Normal"/>
    <w:next w:val="Normal"/>
    <w:qFormat/>
    <w:rPr>
      <w:b/>
      <w:bCs/>
      <w:color w:val="3347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fbe11760b3eb6c6f3299e290e692f39abd1a92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Lab Aero — Self-Hosted Deployment Guide (SL-DG-0001 v1.0)</dc:title>
  <dc:creator>Safety Lab Aero</dc:creator>
  <dc:description>Self-hosted deployment guide</dc:description>
  <cp:lastModifiedBy>Un-named</cp:lastModifiedBy>
  <cp:revision>1</cp:revision>
  <dcterms:created xsi:type="dcterms:W3CDTF">2026-09-07T23:09:22.681Z</dcterms:created>
  <dcterms:modified xsi:type="dcterms:W3CDTF">2026-09-07T23:09:22.696Z</dcterms:modified>
</cp:coreProperties>
</file>

<file path=docProps/custom.xml><?xml version="1.0" encoding="utf-8"?>
<Properties xmlns="http://schemas.openxmlformats.org/officeDocument/2006/custom-properties" xmlns:vt="http://schemas.openxmlformats.org/officeDocument/2006/docPropsVTypes"/>
</file>