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991" w:rsidRDefault="003F042D" w:rsidP="003F042D">
      <w:pPr>
        <w:pStyle w:val="Heading1"/>
      </w:pPr>
      <w:r>
        <w:t>Zahlungssysteme Handout</w:t>
      </w:r>
    </w:p>
    <w:p w:rsidR="003F042D" w:rsidRDefault="003F042D" w:rsidP="003F042D">
      <w:pPr>
        <w:pStyle w:val="Heading2"/>
      </w:pPr>
      <w:r>
        <w:t>Definition</w:t>
      </w:r>
    </w:p>
    <w:p w:rsidR="00A245EE" w:rsidRPr="003F042D" w:rsidRDefault="00BD54B4" w:rsidP="003F042D">
      <w:r w:rsidRPr="003F042D">
        <w:rPr>
          <w:i/>
          <w:iCs/>
        </w:rPr>
        <w:t>Als Zahlungsverfahren werden alle Formen und Prozesse der Übertragung von Eigentumsrechten an Zahlungsmitteln bezeichnet</w:t>
      </w:r>
      <w:r w:rsidRPr="003F042D">
        <w:t xml:space="preserve">. </w:t>
      </w:r>
    </w:p>
    <w:p w:rsidR="003F042D" w:rsidRDefault="003F042D" w:rsidP="003F042D">
      <w:pPr>
        <w:pStyle w:val="Heading2"/>
      </w:pPr>
      <w:r>
        <w:t>Klassifizierungen</w:t>
      </w:r>
    </w:p>
    <w:p w:rsidR="00CD6C6A" w:rsidRDefault="00BD54B4" w:rsidP="003F042D">
      <w:r w:rsidRPr="003F042D">
        <w:t>Klassisch vs. Elektronisch</w:t>
      </w:r>
    </w:p>
    <w:p w:rsidR="00A245EE" w:rsidRPr="003F042D" w:rsidRDefault="00BD54B4" w:rsidP="003F042D">
      <w:r w:rsidRPr="003F042D">
        <w:t>Bundesamt für Sicherheit der Informationstechnik:</w:t>
      </w:r>
      <w:r w:rsidR="00CD6C6A">
        <w:t xml:space="preserve"> Originär vs. Abgeleitet</w:t>
      </w:r>
    </w:p>
    <w:p w:rsidR="003F042D" w:rsidRDefault="003F042D" w:rsidP="003F042D">
      <w:pPr>
        <w:pStyle w:val="Heading2"/>
      </w:pPr>
      <w:r>
        <w:t>Zahlungsmöglichkeiten</w:t>
      </w:r>
    </w:p>
    <w:p w:rsidR="003F042D" w:rsidRDefault="00BD54B4" w:rsidP="003F042D">
      <w:r w:rsidRPr="003F042D">
        <w:t>Kategorisierung nach Einsatzort</w:t>
      </w:r>
      <w:r w:rsidR="003F042D">
        <w:t>: Point Of Sale, Fernabsatz</w:t>
      </w:r>
    </w:p>
    <w:p w:rsidR="00A245EE" w:rsidRPr="003F042D" w:rsidRDefault="00BD54B4" w:rsidP="003F042D">
      <w:r w:rsidRPr="003F042D">
        <w:t>Kategorisierung nach Betragshöhe</w:t>
      </w:r>
      <w:r w:rsidR="003F042D">
        <w:t xml:space="preserve">: </w:t>
      </w:r>
      <w:r w:rsidRPr="003F042D">
        <w:rPr>
          <w:i/>
          <w:iCs/>
        </w:rPr>
        <w:t>Macropayment</w:t>
      </w:r>
      <w:r w:rsidR="003F042D">
        <w:t xml:space="preserve">, </w:t>
      </w:r>
      <w:r w:rsidRPr="003F042D">
        <w:rPr>
          <w:i/>
          <w:iCs/>
        </w:rPr>
        <w:t>Micropayment</w:t>
      </w:r>
      <w:r w:rsidR="003F042D">
        <w:t xml:space="preserve">, </w:t>
      </w:r>
      <w:r w:rsidRPr="003F042D">
        <w:rPr>
          <w:i/>
          <w:iCs/>
        </w:rPr>
        <w:t>Nanopayment</w:t>
      </w:r>
    </w:p>
    <w:p w:rsidR="00A245EE" w:rsidRPr="003F042D" w:rsidRDefault="00BD54B4" w:rsidP="003F042D">
      <w:r w:rsidRPr="003F042D">
        <w:t>Kategorisierung nach Herkunft</w:t>
      </w:r>
      <w:r w:rsidR="003F042D">
        <w:t xml:space="preserve">: </w:t>
      </w:r>
      <w:r w:rsidRPr="003F042D">
        <w:rPr>
          <w:i/>
          <w:iCs/>
        </w:rPr>
        <w:t>Inland</w:t>
      </w:r>
      <w:r w:rsidR="003F042D">
        <w:t xml:space="preserve">, </w:t>
      </w:r>
      <w:r w:rsidRPr="003F042D">
        <w:rPr>
          <w:i/>
          <w:iCs/>
        </w:rPr>
        <w:t>Ausland</w:t>
      </w:r>
    </w:p>
    <w:p w:rsidR="003F042D" w:rsidRPr="003F042D" w:rsidRDefault="003F042D" w:rsidP="003F042D">
      <w:r>
        <w:t xml:space="preserve">Kategorisierung nach Häufigkeit: </w:t>
      </w:r>
      <w:r w:rsidR="00BD54B4" w:rsidRPr="003F042D">
        <w:rPr>
          <w:i/>
          <w:iCs/>
        </w:rPr>
        <w:t>Einmalig</w:t>
      </w:r>
      <w:r>
        <w:t xml:space="preserve">, </w:t>
      </w:r>
      <w:r w:rsidR="00BD54B4" w:rsidRPr="003F042D">
        <w:rPr>
          <w:i/>
          <w:iCs/>
        </w:rPr>
        <w:t>Wiederkehrend</w:t>
      </w:r>
    </w:p>
    <w:p w:rsidR="003F042D" w:rsidRDefault="003F042D" w:rsidP="003F042D">
      <w:pPr>
        <w:pStyle w:val="Heading2"/>
      </w:pPr>
      <w:r>
        <w:t>Anforderungen an Käufer</w:t>
      </w:r>
    </w:p>
    <w:p w:rsidR="003F042D" w:rsidRDefault="00BD54B4" w:rsidP="003F042D">
      <w:r w:rsidRPr="003F042D">
        <w:t>Sicherheit</w:t>
      </w:r>
      <w:r w:rsidR="003F042D">
        <w:t xml:space="preserve">: </w:t>
      </w:r>
      <w:r w:rsidRPr="003F042D">
        <w:rPr>
          <w:i/>
          <w:iCs/>
        </w:rPr>
        <w:t>Transaktionskontrolle</w:t>
      </w:r>
      <w:r w:rsidR="003F042D">
        <w:t xml:space="preserve">, </w:t>
      </w:r>
      <w:r w:rsidRPr="003F042D">
        <w:rPr>
          <w:i/>
          <w:iCs/>
        </w:rPr>
        <w:t>Authentifizierung</w:t>
      </w:r>
      <w:r w:rsidR="003F042D">
        <w:t xml:space="preserve">, </w:t>
      </w:r>
      <w:r w:rsidRPr="003F042D">
        <w:rPr>
          <w:i/>
          <w:iCs/>
        </w:rPr>
        <w:t>Sperrmöglichkeit</w:t>
      </w:r>
      <w:r w:rsidR="003F042D">
        <w:t xml:space="preserve">, </w:t>
      </w:r>
      <w:r w:rsidRPr="003F042D">
        <w:rPr>
          <w:i/>
          <w:iCs/>
        </w:rPr>
        <w:t>Haftungsbetrag</w:t>
      </w:r>
    </w:p>
    <w:p w:rsidR="00A245EE" w:rsidRPr="003F042D" w:rsidRDefault="00BD54B4" w:rsidP="003F042D">
      <w:r w:rsidRPr="003F042D">
        <w:t>Installations- bzw. Registrierungsaufwand</w:t>
      </w:r>
    </w:p>
    <w:p w:rsidR="00A245EE" w:rsidRPr="003F042D" w:rsidRDefault="00BD54B4" w:rsidP="003F042D">
      <w:r w:rsidRPr="003F042D">
        <w:t>Kosten</w:t>
      </w:r>
    </w:p>
    <w:p w:rsidR="00A245EE" w:rsidRPr="003F042D" w:rsidRDefault="00BD54B4" w:rsidP="003F042D">
      <w:r w:rsidRPr="003F042D">
        <w:t>Akzeptanzstellen</w:t>
      </w:r>
    </w:p>
    <w:p w:rsidR="003F042D" w:rsidRDefault="003F042D" w:rsidP="003F042D">
      <w:pPr>
        <w:pStyle w:val="Heading2"/>
      </w:pPr>
      <w:r>
        <w:t>Moderne Zahlsysteme</w:t>
      </w:r>
    </w:p>
    <w:p w:rsidR="00A245EE" w:rsidRPr="003F042D" w:rsidRDefault="00BD54B4" w:rsidP="003F042D">
      <w:r w:rsidRPr="003F042D">
        <w:t>E-Mail-basierte Verfahren</w:t>
      </w:r>
    </w:p>
    <w:p w:rsidR="00A245EE" w:rsidRPr="003F042D" w:rsidRDefault="00BD54B4" w:rsidP="003F042D">
      <w:r w:rsidRPr="003F042D">
        <w:t>Karten-basierte Verfahren</w:t>
      </w:r>
    </w:p>
    <w:p w:rsidR="00A245EE" w:rsidRPr="003F042D" w:rsidRDefault="00BD54B4" w:rsidP="003F042D">
      <w:r w:rsidRPr="003F042D">
        <w:t>Mobiltelefon-basierte Verfahren</w:t>
      </w:r>
    </w:p>
    <w:p w:rsidR="003F042D" w:rsidRDefault="00BD54B4" w:rsidP="003F042D">
      <w:r w:rsidRPr="003F042D">
        <w:t>Sonstige Inkasso- und Billing-Verfahren</w:t>
      </w:r>
    </w:p>
    <w:p w:rsidR="003F042D" w:rsidRDefault="003F042D" w:rsidP="003F042D">
      <w:r>
        <w:t xml:space="preserve">Vorteile: </w:t>
      </w:r>
      <w:r w:rsidR="00BD54B4" w:rsidRPr="003F042D">
        <w:t>Immer mehr Online Shopping</w:t>
      </w:r>
      <w:r>
        <w:t xml:space="preserve">, </w:t>
      </w:r>
      <w:r w:rsidR="00BD54B4" w:rsidRPr="003F042D">
        <w:t>Anonymität</w:t>
      </w:r>
      <w:r>
        <w:t xml:space="preserve">, </w:t>
      </w:r>
      <w:r w:rsidR="00BD54B4" w:rsidRPr="003F042D">
        <w:t>Sicherheit</w:t>
      </w:r>
      <w:r>
        <w:t xml:space="preserve">, </w:t>
      </w:r>
      <w:r w:rsidR="00BD54B4" w:rsidRPr="003F042D">
        <w:t>Unkomplizie</w:t>
      </w:r>
      <w:bookmarkStart w:id="0" w:name="_GoBack"/>
      <w:bookmarkEnd w:id="0"/>
      <w:r w:rsidR="00BD54B4" w:rsidRPr="003F042D">
        <w:t>rt</w:t>
      </w:r>
    </w:p>
    <w:p w:rsidR="00D06EDC" w:rsidRPr="00CD6C6A" w:rsidRDefault="00D06EDC" w:rsidP="003F042D">
      <w:r>
        <w:t>SICK</w:t>
      </w:r>
    </w:p>
    <w:sectPr w:rsidR="00D06EDC" w:rsidRPr="00CD6C6A" w:rsidSect="003C0C7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F9C" w:rsidRDefault="00211F9C" w:rsidP="003F042D">
      <w:pPr>
        <w:spacing w:after="0" w:line="240" w:lineRule="auto"/>
      </w:pPr>
      <w:r>
        <w:separator/>
      </w:r>
    </w:p>
  </w:endnote>
  <w:endnote w:type="continuationSeparator" w:id="0">
    <w:p w:rsidR="00211F9C" w:rsidRDefault="00211F9C" w:rsidP="003F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42D" w:rsidRPr="003F042D" w:rsidRDefault="003F042D" w:rsidP="003F042D">
    <w:pPr>
      <w:pStyle w:val="Footer"/>
      <w:jc w:val="center"/>
      <w:rPr>
        <w:sz w:val="18"/>
      </w:rPr>
    </w:pPr>
    <w:r w:rsidRPr="003F042D">
      <w:rPr>
        <w:sz w:val="18"/>
      </w:rPr>
      <w:t xml:space="preserve">Quellen: </w:t>
    </w:r>
    <w:hyperlink r:id="rId1" w:history="1">
      <w:r w:rsidRPr="003F042D">
        <w:rPr>
          <w:rStyle w:val="Hyperlink"/>
          <w:sz w:val="18"/>
        </w:rPr>
        <w:t>https://de.wikipedia.org/wiki/Zahlungsverfahren</w:t>
      </w:r>
    </w:hyperlink>
    <w:r w:rsidRPr="003F042D">
      <w:rPr>
        <w:sz w:val="18"/>
      </w:rPr>
      <w:t xml:space="preserve">; </w:t>
    </w:r>
    <w:hyperlink r:id="rId2" w:history="1">
      <w:r w:rsidRPr="003F042D">
        <w:rPr>
          <w:rStyle w:val="Hyperlink"/>
          <w:sz w:val="18"/>
        </w:rPr>
        <w:t>https://www.ecommerce-leitfaden.de/ecl-v2/141-kapitel-4-zahlen-bitte-einfach-schnell-und-sicher/</w:t>
      </w:r>
    </w:hyperlink>
    <w:r w:rsidRPr="003F042D">
      <w:rPr>
        <w:sz w:val="18"/>
      </w:rPr>
      <w:t>;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F9C" w:rsidRDefault="00211F9C" w:rsidP="003F042D">
      <w:pPr>
        <w:spacing w:after="0" w:line="240" w:lineRule="auto"/>
      </w:pPr>
      <w:r>
        <w:separator/>
      </w:r>
    </w:p>
  </w:footnote>
  <w:footnote w:type="continuationSeparator" w:id="0">
    <w:p w:rsidR="00211F9C" w:rsidRDefault="00211F9C" w:rsidP="003F0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42D" w:rsidRDefault="003F042D">
    <w:pPr>
      <w:pStyle w:val="Header"/>
    </w:pPr>
    <w:r>
      <w:t xml:space="preserve">Martin Wölfer &amp; Johannes Bishara </w:t>
    </w:r>
    <w:r>
      <w:tab/>
      <w:t>5BHIT</w:t>
    </w:r>
    <w:r>
      <w:tab/>
      <w:t>20.11.2017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D1702"/>
    <w:multiLevelType w:val="hybridMultilevel"/>
    <w:tmpl w:val="A54E3206"/>
    <w:lvl w:ilvl="0" w:tplc="59DA5D2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022ED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4DA2C6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460020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136B7C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A9C093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6D2A1C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150351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EDEF43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>
    <w:nsid w:val="40856B44"/>
    <w:multiLevelType w:val="hybridMultilevel"/>
    <w:tmpl w:val="BBB23B60"/>
    <w:lvl w:ilvl="0" w:tplc="5BDA27A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E363A1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9B4004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08AB4A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DC64B5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9F87D9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16061C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A247AB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E06F9C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>
    <w:nsid w:val="4E363B45"/>
    <w:multiLevelType w:val="hybridMultilevel"/>
    <w:tmpl w:val="FF38CE0C"/>
    <w:lvl w:ilvl="0" w:tplc="1ADCC06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0EEF1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4783D3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8FE27E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0E8225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D7E45C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F4E2B3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E485C4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B7E862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>
    <w:nsid w:val="50DD0537"/>
    <w:multiLevelType w:val="hybridMultilevel"/>
    <w:tmpl w:val="6A720360"/>
    <w:lvl w:ilvl="0" w:tplc="F6E8AF1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95612E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8E8635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2062B1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AA2E10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520519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EE2779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8A8045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6AACB7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>
    <w:nsid w:val="652461C8"/>
    <w:multiLevelType w:val="hybridMultilevel"/>
    <w:tmpl w:val="EC8E8862"/>
    <w:lvl w:ilvl="0" w:tplc="84E8184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1CE934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448819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FCE697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A42B41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9EA81C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13477D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DA6EA4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E84808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>
    <w:nsid w:val="6DE94B95"/>
    <w:multiLevelType w:val="hybridMultilevel"/>
    <w:tmpl w:val="A3905F58"/>
    <w:lvl w:ilvl="0" w:tplc="4B266B2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B0A123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660C6D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6C2983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6EA66E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338E4E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54CF30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184540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D9A9EA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042D"/>
    <w:rsid w:val="00211F9C"/>
    <w:rsid w:val="003C0C77"/>
    <w:rsid w:val="003F042D"/>
    <w:rsid w:val="005867B5"/>
    <w:rsid w:val="00A245EE"/>
    <w:rsid w:val="00AB3991"/>
    <w:rsid w:val="00BD54B4"/>
    <w:rsid w:val="00CD6C6A"/>
    <w:rsid w:val="00CF66C3"/>
    <w:rsid w:val="00D06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C77"/>
  </w:style>
  <w:style w:type="paragraph" w:styleId="Heading1">
    <w:name w:val="heading 1"/>
    <w:basedOn w:val="Normal"/>
    <w:next w:val="Normal"/>
    <w:link w:val="Heading1Char"/>
    <w:uiPriority w:val="9"/>
    <w:qFormat/>
    <w:rsid w:val="003F0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04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42D"/>
  </w:style>
  <w:style w:type="paragraph" w:styleId="Footer">
    <w:name w:val="footer"/>
    <w:basedOn w:val="Normal"/>
    <w:link w:val="FooterChar"/>
    <w:uiPriority w:val="99"/>
    <w:unhideWhenUsed/>
    <w:rsid w:val="003F04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42D"/>
  </w:style>
  <w:style w:type="character" w:customStyle="1" w:styleId="Heading2Char">
    <w:name w:val="Heading 2 Char"/>
    <w:basedOn w:val="DefaultParagraphFont"/>
    <w:link w:val="Heading2"/>
    <w:uiPriority w:val="9"/>
    <w:rsid w:val="003F0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0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0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3F042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668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557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17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10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109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18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041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35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548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7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5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38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972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91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05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77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89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889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57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76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26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70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07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35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1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16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34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489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00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41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9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394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5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622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308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13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71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22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240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44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7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592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11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227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commerce-leitfaden.de/ecl-v2/141-kapitel-4-zahlen-bitte-einfach-schnell-und-sicher/" TargetMode="External"/><Relationship Id="rId1" Type="http://schemas.openxmlformats.org/officeDocument/2006/relationships/hyperlink" Target="https://de.wikipedia.org/wiki/Zahlungsverfahr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Woelfer Martin</dc:creator>
  <cp:keywords/>
  <dc:description/>
  <cp:lastModifiedBy>Johannes Bishara</cp:lastModifiedBy>
  <cp:revision>4</cp:revision>
  <dcterms:created xsi:type="dcterms:W3CDTF">2017-11-20T00:31:00Z</dcterms:created>
  <dcterms:modified xsi:type="dcterms:W3CDTF">2017-12-03T22:31:00Z</dcterms:modified>
</cp:coreProperties>
</file>