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v4.10</w:t>
      </w:r>
      <w:r>
        <w:rPr>
          <w:rFonts w:ascii="Calibri" w:hAnsi="Calibri" w:cs="Calibri" w:eastAsia="Calibri"/>
          <w:b w:val="0"/>
          <w:i w:val="0"/>
        </w:rPr>
        <w:t xml:space="preserve">. System version </w:t>
      </w:r>
      <w:r>
        <w:rPr>
          <w:rFonts w:ascii="Calibri" w:hAnsi="Calibri" w:cs="Calibri" w:eastAsia="Calibri"/>
          <w:b/>
          <w:i w:val="0"/>
        </w:rPr>
        <w:t>0.5.1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Vigor per level;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(Ancestry Vigor + Calling Vigor) × level. Only the first Calling counts.</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(Condition), Fatigued (−1 Condition to Evade and Guard), and Load Strain on Evade (untyped);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(Might; Agility for Finesse, and for a ranged weapon that is not thrown) and the Key Attribute of a Combat Style whose Root you own and in whose Style you are wielding the weapon (the weapon's Style field). The weapon row shows the glyph of the one that won and says why.</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actions left as a glyph,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and the card says so;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from the end of the third round on, every actor with Load Strain 1 or more who is not already Fatigued, unconscious or Dying gets a </w:t>
      </w:r>
      <w:r>
        <w:rPr>
          <w:rFonts w:ascii="Calibri" w:hAnsi="Calibri" w:cs="Calibri" w:eastAsia="Calibri"/>
          <w:b/>
          <w:i w:val="0"/>
        </w:rPr>
        <w:t>Wind</w:t>
      </w:r>
      <w:r>
        <w:rPr>
          <w:rFonts w:ascii="Calibri" w:hAnsi="Calibri" w:cs="Calibri" w:eastAsia="Calibri"/>
          <w:b w:val="0"/>
          <w:i w:val="0"/>
        </w:rPr>
        <w:t xml:space="preserve"> card: Endure against 10 + Load Strain, or Fatigued (−1 Evade and Guard) until after the fight.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Matched harness (+1 Torso Protection, −1 Load Strain), Clatter, and Load Strain relieved by your Endure rank from Expert (1 at Expert, 2 at Master, 3 at Legendary). Load Strain comes off Evade, off Might and Agility Skill checks, and off your Rush and Leap distances in feet. From the end of the third round a fighter with Load Strain 1 or more makes the Wind check above. A Closed helm is −2 Situation to Awareness checks, the Awareness Threshold and Initiative; an Open helm −1.</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 A Constellation you have never opened can be Flared, and it then shows on the sheet at 0 points so the Milestone point has somewhere to go.</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drawn for everyone who can see both tokens. They start at the edge of one space and end at the edge of the other with an arrowhead, over a dark underlay so they read on a light map as well as a dark one.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how the next physical Attack is met. There are five: </w:t>
      </w:r>
      <w:r>
        <w:rPr>
          <w:rFonts w:ascii="Calibri" w:hAnsi="Calibri" w:cs="Calibri" w:eastAsia="Calibri"/>
          <w:b/>
          <w:i w:val="0"/>
        </w:rPr>
        <w:t>Evade</w:t>
      </w:r>
      <w:r>
        <w:rPr>
          <w:rFonts w:ascii="Calibri" w:hAnsi="Calibri" w:cs="Calibri" w:eastAsia="Calibri"/>
          <w:b w:val="0"/>
          <w:i w:val="0"/>
        </w:rPr>
        <w:t xml:space="preserve"> and </w:t>
      </w:r>
      <w:r>
        <w:rPr>
          <w:rFonts w:ascii="Calibri" w:hAnsi="Calibri" w:cs="Calibri" w:eastAsia="Calibri"/>
          <w:b/>
          <w:i w:val="0"/>
        </w:rPr>
        <w:t>Guard</w:t>
      </w:r>
      <w:r>
        <w:rPr>
          <w:rFonts w:ascii="Calibri" w:hAnsi="Calibri" w:cs="Calibri" w:eastAsia="Calibri"/>
          <w:b w:val="0"/>
          <w:i w:val="0"/>
        </w:rPr>
        <w:t xml:space="preserve">, the two basic Defenses, which cost nothing; and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the Reactions built on them, which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and are only yours to hold when the Talent or rank that grants them is there (Evade Training, Guard Training with a rigid implement in hand, Expert rank in Melee for Counter).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five chips in the header, each showing the Threshold an attacker would meet (the Reaction's +2 included), one click to switch, and the chosen Defense marked in the grid. A Reaction chip the actor has not earned is drawn disabled, so the sheet still teaches what the Talent would buy. Adversaries have the same chips, all five live, since their Reactions are the GM's to declare.</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cycling to the next stance this actor can actually take: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Talent-granted </w:t>
      </w:r>
      <w:r>
        <w:rPr>
          <w:rFonts w:ascii="Segoe UI Symbol" w:hAnsi="Segoe UI Symbol" w:cs="Segoe UI Symbol" w:eastAsia="Segoe UI Symbol"/>
          <w:b w:val="0"/>
          <w:i w:val="0"/>
          <w:color w:val="8A6A12"/>
        </w:rPr>
        <w:t>⓿↺</w:t>
      </w:r>
      <w:r>
        <w:rPr>
          <w:rFonts w:ascii="Calibri" w:hAnsi="Calibri" w:cs="Calibri" w:eastAsia="Calibri"/>
          <w:b w:val="0"/>
          <w:i w:val="0"/>
        </w:rPr>
        <w:t xml:space="preserve"> Reactions that Expose a Zone until the end of the round, are an answer the prompt offers when you own one in the Defense's Constellation;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 xml:space="preserve">Nothing is prevented, in keeping with the rest of the system. The red squares are a warning,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Ancestry and Calling Vigor per level, Speed with Step, Rush and Leap beside it, Natural and Total Reach, Space, Load Strain,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five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Vigor per level, Size and Speed in feet per Move. A weapon carries its Style, which is load-bearing for the Strike Attribute,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Calling Vigor and Ancestry Speed are text, not fields;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whispered to the actor's owners and the GM: the Recovery check at the start of a round while Dying, with a roll button; the Wind check at the end of the third round and after, with an Endure button and a Fatigued card on a failure;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feed straight into the derived numbers;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95"/>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1"/>
            <w:shd w:val="clear" w:color="auto" w:fill="1F2A4A"/>
          </w:tcPr>
          <w:p>
            <w:pPr>
              <w:spacing w:after="40"/>
            </w:pPr>
            <w:r>
              <w:rPr>
                <w:b/>
              </w:rPr>
            </w:r>
            <w:r>
              <w:rPr>
                <w:rFonts w:ascii="Calibri" w:hAnsi="Calibri" w:cs="Calibri" w:eastAsia="Calibri"/>
                <w:b/>
                <w:i w:val="0"/>
                <w:color w:val="FFFFFF"/>
                <w:sz w:val="19"/>
              </w:rPr>
              <w:t>What it does</w:t>
            </w:r>
          </w:p>
        </w:tc>
      </w:tr>
      <w:tr>
        <w:tc>
          <w:tcPr>
            <w:tcW w:type="dxa" w:w="1495"/>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95"/>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Put the Flare button on critical chat cards</w:t>
            </w:r>
          </w:p>
        </w:tc>
      </w:tr>
      <w:tr>
        <w:tc>
          <w:tcPr>
            <w:tcW w:type="dxa" w:w="1495"/>
          </w:tcPr>
          <w:p>
            <w:pPr>
              <w:spacing w:after="40"/>
            </w:pPr>
            <w:r/>
            <w:r>
              <w:rPr>
                <w:rFonts w:ascii="Calibri" w:hAnsi="Calibri" w:cs="Calibri" w:eastAsia="Calibri"/>
                <w:b w:val="0"/>
                <w:i w:val="0"/>
                <w:sz w:val="19"/>
              </w:rPr>
              <w:t>Track the six-action round</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95"/>
            <w:shd w:val="clear" w:color="auto" w:fill="F5F6FA"/>
          </w:tcPr>
          <w:p>
            <w:pPr>
              <w:spacing w:after="40"/>
            </w:pPr>
            <w:r/>
            <w:r>
              <w:rPr>
                <w:rFonts w:ascii="Calibri" w:hAnsi="Calibri" w:cs="Calibri" w:eastAsia="Calibri"/>
                <w:b w:val="0"/>
                <w:i w:val="0"/>
                <w:sz w:val="19"/>
              </w:rPr>
              <w:t>Remind about Recovery checks</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95"/>
          </w:tcPr>
          <w:p>
            <w:pPr>
              <w:spacing w:after="40"/>
            </w:pPr>
            <w:r/>
            <w:r>
              <w:rPr>
                <w:rFonts w:ascii="Calibri" w:hAnsi="Calibri" w:cs="Calibri" w:eastAsia="Calibri"/>
                <w:b w:val="0"/>
                <w:i w:val="0"/>
                <w:sz w:val="19"/>
              </w:rPr>
              <w:t>Show Total Reach on the map</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Draw the reach bands around the token you control or hover over. Per client</w:t>
            </w:r>
          </w:p>
        </w:tc>
      </w:tr>
      <w:tr>
        <w:tc>
          <w:tcPr>
            <w:tcW w:type="dxa" w:w="1495"/>
            <w:shd w:val="clear" w:color="auto" w:fill="F5F6FA"/>
          </w:tcPr>
          <w:p>
            <w:pPr>
              <w:spacing w:after="40"/>
            </w:pPr>
            <w:r/>
            <w:r>
              <w:rPr>
                <w:rFonts w:ascii="Calibri" w:hAnsi="Calibri" w:cs="Calibri" w:eastAsia="Calibri"/>
                <w:b w:val="0"/>
                <w:i w:val="0"/>
                <w:sz w:val="19"/>
              </w:rPr>
              <w:t>Colour the drag ruler by Moves</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95"/>
          </w:tcPr>
          <w:p>
            <w:pPr>
              <w:spacing w:after="40"/>
            </w:pPr>
            <w:r/>
            <w:r>
              <w:rPr>
                <w:rFonts w:ascii="Calibri" w:hAnsi="Calibri" w:cs="Calibri" w:eastAsia="Calibri"/>
                <w:b w:val="0"/>
                <w:i w:val="0"/>
                <w:sz w:val="19"/>
              </w:rPr>
              <w:t>Draw targeting arrows on the map</w:t>
            </w:r>
          </w:p>
        </w:tc>
        <w:tc>
          <w:tcPr>
            <w:tcW w:type="dxa" w:w="1434"/>
          </w:tcPr>
          <w:p>
            <w:pPr>
              <w:spacing w:after="40"/>
            </w:pPr>
            <w:r/>
            <w:r>
              <w:rPr>
                <w:rFonts w:ascii="Calibri" w:hAnsi="Calibri" w:cs="Calibri" w:eastAsia="Calibri"/>
                <w:b w:val="0"/>
                <w:i w:val="0"/>
                <w:sz w:val="19"/>
              </w:rPr>
              <w:t>on</w:t>
            </w:r>
          </w:p>
        </w:tc>
        <w:tc>
          <w:tcPr>
            <w:tcW w:type="dxa" w:w="6431"/>
          </w:tcPr>
          <w:p>
            <w:pPr>
              <w:spacing w:after="40"/>
            </w:pPr>
            <w:r/>
            <w:r>
              <w:rPr>
                <w:rFonts w:ascii="Calibri" w:hAnsi="Calibri" w:cs="Calibri" w:eastAsia="Calibri"/>
                <w:b w:val="0"/>
                <w:i w:val="0"/>
                <w:sz w:val="19"/>
              </w:rPr>
              <w:t>An arrow from each token to what it targets, in the targeting player's colour. Per client</w:t>
            </w:r>
          </w:p>
        </w:tc>
      </w:tr>
      <w:tr>
        <w:tc>
          <w:tcPr>
            <w:tcW w:type="dxa" w:w="1495"/>
            <w:shd w:val="clear" w:color="auto" w:fill="F5F6FA"/>
          </w:tcPr>
          <w:p>
            <w:pPr>
              <w:spacing w:after="40"/>
            </w:pPr>
            <w:r/>
            <w:r>
              <w:rPr>
                <w:rFonts w:ascii="Calibri" w:hAnsi="Calibri" w:cs="Calibri" w:eastAsia="Calibri"/>
                <w:b w:val="0"/>
                <w:i w:val="0"/>
                <w:sz w:val="19"/>
              </w:rPr>
              <w:t>The attack flow</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95"/>
          </w:tcPr>
          <w:p>
            <w:pPr>
              <w:spacing w:after="40"/>
            </w:pPr>
            <w:r/>
            <w:r>
              <w:rPr>
                <w:rFonts w:ascii="Calibri" w:hAnsi="Calibri" w:cs="Calibri" w:eastAsia="Calibri"/>
                <w:b w:val="0"/>
                <w:i w:val="0"/>
                <w:sz w:val="19"/>
              </w:rPr>
              <w:t>Show a character's Threshold to the attacker</w:t>
            </w:r>
          </w:p>
        </w:tc>
        <w:tc>
          <w:tcPr>
            <w:tcW w:type="dxa" w:w="1434"/>
          </w:tcPr>
          <w:p>
            <w:pPr>
              <w:spacing w:after="40"/>
            </w:pPr>
            <w:r/>
            <w:r>
              <w:rPr>
                <w:rFonts w:ascii="Calibri" w:hAnsi="Calibri" w:cs="Calibri" w:eastAsia="Calibri"/>
                <w:b w:val="0"/>
                <w:i w:val="0"/>
                <w:sz w:val="19"/>
              </w:rPr>
              <w:t>off</w:t>
            </w:r>
          </w:p>
        </w:tc>
        <w:tc>
          <w:tcPr>
            <w:tcW w:type="dxa" w:w="6431"/>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95"/>
            <w:shd w:val="clear" w:color="auto" w:fill="F5F6FA"/>
          </w:tcPr>
          <w:p>
            <w:pPr>
              <w:spacing w:after="40"/>
            </w:pPr>
            <w:r/>
            <w:r>
              <w:rPr>
                <w:rFonts w:ascii="Calibri" w:hAnsi="Calibri" w:cs="Calibri" w:eastAsia="Calibri"/>
                <w:b w:val="0"/>
                <w:i w:val="0"/>
                <w:sz w:val="19"/>
              </w:rPr>
              <w:t>Show pinned auras</w:t>
            </w:r>
          </w:p>
        </w:tc>
        <w:tc>
          <w:tcPr>
            <w:tcW w:type="dxa" w:w="1434"/>
            <w:shd w:val="clear" w:color="auto" w:fill="F5F6FA"/>
          </w:tcPr>
          <w:p>
            <w:pPr>
              <w:spacing w:after="40"/>
            </w:pPr>
            <w:r/>
            <w:r>
              <w:rPr>
                <w:rFonts w:ascii="Calibri" w:hAnsi="Calibri" w:cs="Calibri" w:eastAsia="Calibri"/>
                <w:b w:val="0"/>
                <w:i w:val="0"/>
                <w:sz w:val="19"/>
              </w:rPr>
              <w:t>on</w:t>
            </w:r>
          </w:p>
        </w:tc>
        <w:tc>
          <w:tcPr>
            <w:tcW w:type="dxa" w:w="6431"/>
            <w:shd w:val="clear" w:color="auto" w:fill="F5F6FA"/>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