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jc w:val="center"/>
      </w:pPr>
      <w:r>
        <w:rPr>
          <w:rFonts w:ascii="Arial" w:cs="Arial" w:eastAsia="Arial" w:hAnsi="Arial"/>
          <w:b/>
          <w:bCs/>
          <w:color w:val="C00000"/>
          <w:sz w:val="20"/>
          <w:szCs w:val="20"/>
        </w:rPr>
        <w:t xml:space="preserve">CONFIDENTIAL — FOR ESI COMPLIANCE REVIEW ONLY</w:t>
      </w:r>
    </w:p>
    <w:p>
      <w:pPr>
        <w:spacing w:after="200"/>
      </w:pPr>
    </w:p>
    <w:p>
      <w:pPr>
        <w:pBdr>
          <w:bottom w:val="single" w:color="1B3A5C" w:sz="8" w:space="8"/>
        </w:pBdr>
        <w:spacing w:after="200"/>
        <w:jc w:val="center"/>
      </w:pPr>
      <w:r>
        <w:rPr>
          <w:rFonts w:ascii="Arial" w:cs="Arial" w:eastAsia="Arial" w:hAnsi="Arial"/>
          <w:b/>
          <w:bCs/>
          <w:color w:val="1B3A5C"/>
          <w:sz w:val="44"/>
          <w:szCs w:val="44"/>
        </w:rPr>
        <w:t xml:space="preserve">COMPLIANCE SUBMISSION PACKAGE</w:t>
      </w:r>
    </w:p>
    <w:p>
      <w:pPr>
        <w:spacing w:after="100"/>
      </w:pPr>
    </w:p>
    <w:p>
      <w:pPr>
        <w:spacing w:after="80"/>
        <w:jc w:val="center"/>
      </w:pPr>
      <w:r>
        <w:rPr>
          <w:rFonts w:ascii="Arial" w:cs="Arial" w:eastAsia="Arial" w:hAnsi="Arial"/>
          <w:color w:val="2E75B6"/>
          <w:sz w:val="32"/>
          <w:szCs w:val="32"/>
        </w:rPr>
        <w:t xml:space="preserve">WealthBridge Calculator Suite</w:t>
      </w:r>
    </w:p>
    <w:p>
      <w:pPr>
        <w:spacing w:after="80"/>
        <w:jc w:val="center"/>
      </w:pPr>
      <w:r>
        <w:rPr>
          <w:rFonts w:ascii="Arial" w:cs="Arial" w:eastAsia="Arial" w:hAnsi="Arial"/>
          <w:color w:val="555555"/>
          <w:sz w:val="24"/>
          <w:szCs w:val="24"/>
        </w:rPr>
        <w:t xml:space="preserve">Investment Analysis Tools — FINRA Rule 2214</w:t>
      </w:r>
    </w:p>
    <w:p>
      <w:pPr>
        <w:spacing w:after="80"/>
        <w:jc w:val="center"/>
      </w:pPr>
      <w:r>
        <w:rPr>
          <w:rFonts w:ascii="Arial" w:cs="Arial" w:eastAsia="Arial" w:hAnsi="Arial"/>
          <w:color w:val="555555"/>
          <w:sz w:val="22"/>
          <w:szCs w:val="22"/>
        </w:rPr>
        <w:t xml:space="preserve">Standalone HTML &amp; Stewardly-Hosted Versions</w:t>
      </w:r>
    </w:p>
    <w:p>
      <w:pPr>
        <w:spacing w:after="200"/>
      </w:pPr>
    </w:p>
    <w:p>
      <w:pPr>
        <w:spacing w:after="80"/>
        <w:jc w:val="center"/>
      </w:pPr>
      <w:r>
        <w:rPr>
          <w:rFonts w:ascii="Arial" w:cs="Arial" w:eastAsia="Arial" w:hAnsi="Arial"/>
          <w:b/>
          <w:bCs/>
          <w:color w:val="1B3A5C"/>
          <w:sz w:val="24"/>
          <w:szCs w:val="24"/>
        </w:rPr>
        <w:t xml:space="preserve">Submitted for ESI / NLG Supervisory Review</w:t>
      </w:r>
    </w:p>
    <w:p>
      <w:pPr>
        <w:spacing w:after="80"/>
        <w:jc w:val="center"/>
      </w:pPr>
      <w:r>
        <w:rPr>
          <w:rFonts w:ascii="Arial" w:cs="Arial" w:eastAsia="Arial" w:hAnsi="Arial"/>
          <w:i/>
          <w:iCs/>
          <w:color w:val="555555"/>
          <w:sz w:val="20"/>
          <w:szCs w:val="20"/>
        </w:rPr>
        <w:t xml:space="preserve">Pre-Use Approval Required Under FINRA Rule 2210(b)(1)(A)</w:t>
      </w:r>
    </w:p>
    <w:p>
      <w:pPr>
        <w:spacing w:after="600"/>
      </w:pPr>
    </w:p>
    <w:p>
      <w:pPr>
        <w:spacing w:after="60"/>
        <w:jc w:val="center"/>
      </w:pPr>
      <w:r>
        <w:rPr>
          <w:rFonts w:ascii="Arial" w:cs="Arial" w:eastAsia="Arial" w:hAnsi="Arial"/>
          <w:b/>
          <w:bCs/>
          <w:sz w:val="22"/>
          <w:szCs w:val="22"/>
        </w:rPr>
        <w:t xml:space="preserve">Prepared by: Mike Penn</w:t>
      </w:r>
    </w:p>
    <w:p>
      <w:pPr>
        <w:spacing w:after="60"/>
        <w:jc w:val="center"/>
      </w:pPr>
      <w:r>
        <w:rPr>
          <w:rFonts w:ascii="Arial" w:cs="Arial" w:eastAsia="Arial" w:hAnsi="Arial"/>
          <w:color w:val="555555"/>
          <w:sz w:val="22"/>
          <w:szCs w:val="22"/>
        </w:rPr>
        <w:t xml:space="preserve">WealthBridge Financial Group</w:t>
      </w:r>
    </w:p>
    <w:p>
      <w:pPr>
        <w:spacing w:after="80"/>
        <w:jc w:val="center"/>
      </w:pPr>
      <w:r>
        <w:rPr>
          <w:rFonts w:ascii="Arial" w:cs="Arial" w:eastAsia="Arial" w:hAnsi="Arial"/>
          <w:color w:val="555555"/>
          <w:sz w:val="22"/>
          <w:szCs w:val="22"/>
        </w:rPr>
        <w:t xml:space="preserve">April 7, 2026</w:t>
      </w:r>
    </w:p>
    <w:p>
      <w:pPr>
        <w:spacing w:after="200"/>
      </w:pPr>
    </w:p>
    <w:p>
      <w:pPr>
        <w:spacing w:after="60"/>
        <w:jc w:val="center"/>
      </w:pPr>
      <w:r>
        <w:rPr>
          <w:rFonts w:ascii="Arial" w:cs="Arial" w:eastAsia="Arial" w:hAnsi="Arial"/>
          <w:color w:val="555555"/>
          <w:sz w:val="18"/>
          <w:szCs w:val="18"/>
        </w:rPr>
        <w:t xml:space="preserve">Submit to: ESI Compliance Department, Equity Services, Inc.</w:t>
      </w:r>
    </w:p>
    <w:p>
      <w:pPr>
        <w:spacing w:after="60"/>
        <w:jc w:val="center"/>
      </w:pPr>
      <w:r>
        <w:rPr>
          <w:rFonts w:ascii="Arial" w:cs="Arial" w:eastAsia="Arial" w:hAnsi="Arial"/>
          <w:color w:val="555555"/>
          <w:sz w:val="18"/>
          <w:szCs w:val="18"/>
        </w:rPr>
        <w:t xml:space="preserve">One National Life Drive, Montpelier, VT 05604 — (800) 344-7437</w:t>
      </w:r>
    </w:p>
    <w:p>
      <w:pPr>
        <w:sectPr>
          <w:pgSz w:w="12240" w:h="15840" w:orient="portrait"/>
          <w:pgMar w:top="1440" w:right="1440" w:bottom="1440" w:left="1440" w:header="708" w:footer="708" w:gutter="0"/>
          <w:pgNumType/>
          <w:docGrid w:linePitch="360"/>
        </w:sectPr>
      </w:pPr>
    </w:p>
    <w:sdt>
      <w:sdtPr>
        <w:alias w:val="Table of Contents"/>
      </w:sdtPr>
      <w:sdtContent>
        <w:p>
          <w:r>
            <w:fldChar w:fldCharType="begin" w:dirty="true"/>
            <w:instrText xml:space="preserve">TOC \h \o "1-3"</w:instrText>
            <w:fldChar w:fldCharType="separate"/>
          </w:r>
        </w:p>
        <w:p>
          <w:r>
            <w:fldChar w:fldCharType="end"/>
          </w:r>
        </w:p>
      </w:sdtContent>
    </w:sdt>
    <w:p>
      <w:r>
        <w:rPr>
          <w:rFonts w:ascii="Arial" w:cs="Arial" w:eastAsia="Arial" w:hAnsi="Arial"/>
        </w:rPr>
        <w:t xml:space="preserve"/>
      </w:r>
      <w:r>
        <w:br w:type="page"/>
      </w:r>
    </w:p>
    <w:p>
      <w:pPr>
        <w:pStyle w:val="Heading1"/>
      </w:pPr>
      <w:r>
        <w:t xml:space="preserve">Executive Summary</w:t>
      </w:r>
    </w:p>
    <w:p>
      <w:pPr>
        <w:spacing w:after="120"/>
      </w:pPr>
      <w:r>
        <w:rPr>
          <w:rFonts w:ascii="Arial" w:cs="Arial" w:eastAsia="Arial" w:hAnsi="Arial"/>
          <w:sz w:val="22"/>
          <w:szCs w:val="22"/>
        </w:rPr>
        <w:t xml:space="preserve">This package requests pre-use supervisory approval of the WealthBridge Calculator Suite, a set of three interactive investment analysis tools designed for use by ESI-registered representatives with retail clients. The suite comprises the WealthBridge Client Calculator (personal wealth planning), Business Calculator (practice economics modeling), and Quick Quote Calculator (insurance quotation). Each is deployed as both a standalone HTML file and a Stewardly-hosted web application.</w:t>
      </w:r>
    </w:p>
    <w:p>
      <w:pPr>
        <w:spacing w:after="50"/>
      </w:pPr>
    </w:p>
    <w:p>
      <w:pPr>
        <w:spacing w:after="120"/>
      </w:pPr>
      <w:r>
        <w:rPr>
          <w:rFonts w:ascii="Arial" w:cs="Arial" w:eastAsia="Arial" w:hAnsi="Arial"/>
          <w:b/>
          <w:bCs/>
          <w:sz w:val="22"/>
          <w:szCs w:val="22"/>
        </w:rPr>
        <w:t xml:space="preserve">Key Regulatory Determinations: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580"/>
        <w:gridCol w:w="25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Regulatory Framework</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 / Determination</w:t>
            </w:r>
          </w:p>
        </w:tc>
        <w:tc>
          <w:tcPr>
            <w:tcW w:type="dxa" w:w="2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Action Required</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FINRA Rule 2210</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Retail Communication (both versions)</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 principal pre-approval; retain per 17a-4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FINRA Rule 2214</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Qualifies as Investment Analysis Tool</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Provide FINRA access upon request (filing eliminated per RN 16-41)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 Marketing Rule 206(4)-1</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Qualifies for Interactive Analysis Tool Exclusion from hypothetical performance</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Maintain five disclosure conditions; annual verification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Regulation Best Interest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Tool is educational/informational; does not itself constitute a recommendation</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Reps must comply with Reg BI when using tool output to make recommendations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NAIC Model Regulation 582</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Applies only when illustrating specific life insurance policy forms with NGEs &gt;$10K death benefit</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Use NLG-approved illustration software or disclaim and direct to formal illustration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 Reg S-P / S-ID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Applies to Stewardly-hosted version if storing client PII</w:t>
            </w:r>
          </w:p>
        </w:tc>
        <w:tc>
          <w:tcPr>
            <w:tcW w:type="dxa" w:w="2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Privacy notice; safeguards program; no SSN collection</w:t>
            </w:r>
          </w:p>
        </w:tc>
      </w:tr>
    </w:tbl>
    <w:p>
      <w:pPr>
        <w:spacing w:after="100"/>
      </w:pPr>
    </w:p>
    <w:p>
      <w:pPr>
        <w:spacing w:after="120"/>
      </w:pPr>
      <w:r>
        <w:rPr>
          <w:rFonts w:ascii="Arial" w:cs="Arial" w:eastAsia="Arial" w:hAnsi="Arial"/>
          <w:b/>
          <w:bCs/>
          <w:sz w:val="22"/>
          <w:szCs w:val="22"/>
        </w:rPr>
        <w:t xml:space="preserve">Pending Regulatory Developments:</w:t>
      </w:r>
    </w:p>
    <w:p>
      <w:pPr>
        <w:spacing w:after="120"/>
      </w:pPr>
      <w:r>
        <w:rPr>
          <w:rFonts w:ascii="Arial" w:cs="Arial" w:eastAsia="Arial" w:hAnsi="Arial"/>
          <w:sz w:val="22"/>
          <w:szCs w:val="22"/>
        </w:rPr>
        <w:t xml:space="preserve">On February 11, 2026, FINRA filed proposed amendments to Rule 2210 (SR-FINRA-2026-004) that would permit projections of performance and targeted returns in member communications under specified conditions. If approved (expected Q3–Q4 2026), this may expand the permissible uses of calculator outputs beyond the current Rule 2214 framework. This package is prepared under current rules; we will supplement if the proposed amendments are adopted.</w:t>
      </w:r>
    </w:p>
    <w:p>
      <w:r>
        <w:rPr>
          <w:rFonts w:ascii="Arial" w:cs="Arial" w:eastAsia="Arial" w:hAnsi="Arial"/>
        </w:rPr>
        <w:t xml:space="preserve"/>
      </w:r>
      <w:r>
        <w:br w:type="page"/>
      </w:r>
    </w:p>
    <w:p>
      <w:pPr>
        <w:pStyle w:val="Heading1"/>
      </w:pPr>
      <w:r>
        <w:t xml:space="preserve">Cover Letter</w:t>
      </w:r>
    </w:p>
    <w:p>
      <w:pPr>
        <w:spacing w:after="50"/>
      </w:pPr>
    </w:p>
    <w:p>
      <w:pPr>
        <w:spacing w:after="120"/>
      </w:pPr>
      <w:r>
        <w:rPr>
          <w:rFonts w:ascii="Arial" w:cs="Arial" w:eastAsia="Arial" w:hAnsi="Arial"/>
          <w:sz w:val="22"/>
          <w:szCs w:val="22"/>
        </w:rPr>
        <w:t xml:space="preserve">April 7, 2026</w:t>
      </w:r>
    </w:p>
    <w:p>
      <w:pPr>
        <w:spacing w:after="50"/>
      </w:pPr>
    </w:p>
    <w:p>
      <w:pPr>
        <w:spacing w:after="120"/>
      </w:pPr>
      <w:r>
        <w:rPr>
          <w:rFonts w:ascii="Arial" w:cs="Arial" w:eastAsia="Arial" w:hAnsi="Arial"/>
          <w:sz w:val="22"/>
          <w:szCs w:val="22"/>
        </w:rPr>
        <w:t xml:space="preserve">ESI Compliance Department</w:t>
      </w:r>
    </w:p>
    <w:p>
      <w:pPr>
        <w:spacing w:after="120"/>
      </w:pPr>
      <w:r>
        <w:rPr>
          <w:rFonts w:ascii="Arial" w:cs="Arial" w:eastAsia="Arial" w:hAnsi="Arial"/>
          <w:sz w:val="22"/>
          <w:szCs w:val="22"/>
        </w:rPr>
        <w:t xml:space="preserve">Equity Services, Inc.</w:t>
      </w:r>
    </w:p>
    <w:p>
      <w:pPr>
        <w:spacing w:after="120"/>
      </w:pPr>
      <w:r>
        <w:rPr>
          <w:rFonts w:ascii="Arial" w:cs="Arial" w:eastAsia="Arial" w:hAnsi="Arial"/>
          <w:sz w:val="22"/>
          <w:szCs w:val="22"/>
        </w:rPr>
        <w:t xml:space="preserve">One National Life Drive</w:t>
      </w:r>
    </w:p>
    <w:p>
      <w:pPr>
        <w:spacing w:after="120"/>
      </w:pPr>
      <w:r>
        <w:rPr>
          <w:rFonts w:ascii="Arial" w:cs="Arial" w:eastAsia="Arial" w:hAnsi="Arial"/>
          <w:sz w:val="22"/>
          <w:szCs w:val="22"/>
        </w:rPr>
        <w:t xml:space="preserve">Montpelier, VT 05604</w:t>
      </w:r>
    </w:p>
    <w:p>
      <w:pPr>
        <w:spacing w:after="100"/>
      </w:pPr>
    </w:p>
    <w:p>
      <w:pPr>
        <w:spacing w:after="120"/>
      </w:pPr>
      <w:r>
        <w:rPr>
          <w:rFonts w:ascii="Arial" w:cs="Arial" w:eastAsia="Arial" w:hAnsi="Arial"/>
          <w:sz w:val="22"/>
          <w:szCs w:val="22"/>
        </w:rPr>
        <w:t xml:space="preserve">Re: Pre-Use Supervisory Review — WealthBridge Calculator Suite (Investment Analysis Tools per FINRA Rule 2214)</w:t>
      </w:r>
    </w:p>
    <w:p>
      <w:pPr>
        <w:spacing w:after="100"/>
      </w:pPr>
    </w:p>
    <w:p>
      <w:pPr>
        <w:spacing w:after="120"/>
      </w:pPr>
      <w:r>
        <w:rPr>
          <w:rFonts w:ascii="Arial" w:cs="Arial" w:eastAsia="Arial" w:hAnsi="Arial"/>
          <w:sz w:val="22"/>
          <w:szCs w:val="22"/>
        </w:rPr>
        <w:t xml:space="preserve">Dear ESI Compliance Team,</w:t>
      </w:r>
    </w:p>
    <w:p>
      <w:pPr>
        <w:spacing w:after="50"/>
      </w:pPr>
    </w:p>
    <w:p>
      <w:pPr>
        <w:spacing w:after="120"/>
      </w:pPr>
      <w:r>
        <w:rPr>
          <w:rFonts w:ascii="Arial" w:cs="Arial" w:eastAsia="Arial" w:hAnsi="Arial"/>
          <w:sz w:val="22"/>
          <w:szCs w:val="22"/>
        </w:rPr>
        <w:t xml:space="preserve">WealthBridge Financial Group respectfully submits this compliance package for supervisory review and pre-approval of the WealthBridge Calculator Suite, a set of interactive investment analysis tools as defined under FINRA Rule 2214. The suite comprises three calculators distributed in two deployment formats:</w:t>
      </w:r>
    </w:p>
    <w:p>
      <w:pPr>
        <w:spacing w:after="50"/>
      </w:pPr>
    </w:p>
    <w:p>
      <w:pPr>
        <w:pStyle w:val="ListParagraph"/>
        <w:numPr>
          <w:ilvl w:val="0"/>
          <w:numId w:val="2"/>
        </w:numPr>
        <w:spacing w:after="60"/>
      </w:pPr>
      <w:r>
        <w:rPr>
          <w:rFonts w:ascii="Arial" w:cs="Arial" w:eastAsia="Arial" w:hAnsi="Arial"/>
          <w:sz w:val="22"/>
          <w:szCs w:val="22"/>
        </w:rPr>
        <w:t xml:space="preserve">WealthBridge Client Calculator — holistic personal wealth planning including retirement projections, tax optimization, insurance needs analysis, and strategy comparisons</w:t>
      </w:r>
    </w:p>
    <w:p>
      <w:pPr>
        <w:pStyle w:val="ListParagraph"/>
        <w:numPr>
          <w:ilvl w:val="0"/>
          <w:numId w:val="2"/>
        </w:numPr>
        <w:spacing w:after="60"/>
      </w:pPr>
      <w:r>
        <w:rPr>
          <w:rFonts w:ascii="Arial" w:cs="Arial" w:eastAsia="Arial" w:hAnsi="Arial"/>
          <w:sz w:val="22"/>
          <w:szCs w:val="22"/>
        </w:rPr>
        <w:t xml:space="preserve">WealthBridge Business Calculator — practice-building economics, affiliate hierarchy income modeling, and long-term wealth accumulation for financial professionals</w:t>
      </w:r>
    </w:p>
    <w:p>
      <w:pPr>
        <w:pStyle w:val="ListParagraph"/>
        <w:numPr>
          <w:ilvl w:val="0"/>
          <w:numId w:val="2"/>
        </w:numPr>
        <w:spacing w:after="60"/>
      </w:pPr>
      <w:r>
        <w:rPr>
          <w:rFonts w:ascii="Arial" w:cs="Arial" w:eastAsia="Arial" w:hAnsi="Arial"/>
          <w:sz w:val="22"/>
          <w:szCs w:val="22"/>
        </w:rPr>
        <w:t xml:space="preserve">WealthBridge Quick Quote Calculator — streamlined insurance and product quotation with embedded disclosure</w:t>
      </w:r>
    </w:p>
    <w:p>
      <w:pPr>
        <w:spacing w:after="50"/>
      </w:pPr>
    </w:p>
    <w:p>
      <w:pPr>
        <w:spacing w:after="120"/>
      </w:pPr>
      <w:r>
        <w:rPr>
          <w:rFonts w:ascii="Arial" w:cs="Arial" w:eastAsia="Arial" w:hAnsi="Arial"/>
          <w:sz w:val="22"/>
          <w:szCs w:val="22"/>
        </w:rPr>
        <w:t xml:space="preserve">Both the standalone HTML version (client-side computation, no data storage) and the Stewardly-hosted version (server-side computation with optional data persistence) produce identical computational outputs and carry identical disclosure language.</w:t>
      </w:r>
    </w:p>
    <w:p>
      <w:pPr>
        <w:spacing w:after="50"/>
      </w:pPr>
    </w:p>
    <w:p>
      <w:pPr>
        <w:spacing w:after="120"/>
      </w:pPr>
      <w:r>
        <w:rPr>
          <w:rFonts w:ascii="Arial" w:cs="Arial" w:eastAsia="Arial" w:hAnsi="Arial"/>
          <w:sz w:val="22"/>
          <w:szCs w:val="22"/>
        </w:rPr>
        <w:t xml:space="preserve">This submission documents compliance under seven regulatory frameworks: FINRA Rule 2210 (communication classification), FINRA Rule 2214 (investment analysis tool requirements), the SEC Marketing Rule (interactive analysis tool exclusion), SEC Regulation Best Interest (recommendation boundary), NAIC Model Regulation 582 (life insurance illustrations), ESI-specific supervisory requirements, and applicable data privacy regulations. Each section includes specific compliance actions, disclosure inventory, and the verbatim prescribed disclosure language required by Rule 2214(d).</w:t>
      </w:r>
    </w:p>
    <w:p>
      <w:pPr>
        <w:spacing w:after="50"/>
      </w:pPr>
    </w:p>
    <w:p>
      <w:pPr>
        <w:spacing w:after="120"/>
      </w:pPr>
      <w:r>
        <w:rPr>
          <w:rFonts w:ascii="Arial" w:cs="Arial" w:eastAsia="Arial" w:hAnsi="Arial"/>
          <w:sz w:val="22"/>
          <w:szCs w:val="22"/>
        </w:rPr>
        <w:t xml:space="preserve">Per the amended Rule 2214 (effective October 2016, Regulatory Notice 16-41), the filing requirements for investment analysis tool templates and related retail communications have been eliminated. Instead, we will provide FINRA’s Advertising Regulation Department with access to the tools upon request. We request that ESI’s compliance team conduct its supervisory review and provide approval or required modifications prior to first use, consistent with Rule 2210(b)(1)(A).</w:t>
      </w:r>
    </w:p>
    <w:p>
      <w:pPr>
        <w:spacing w:after="50"/>
      </w:pPr>
    </w:p>
    <w:p>
      <w:pPr>
        <w:spacing w:after="120"/>
      </w:pPr>
      <w:r>
        <w:rPr>
          <w:rFonts w:ascii="Arial" w:cs="Arial" w:eastAsia="Arial" w:hAnsi="Arial"/>
          <w:sz w:val="22"/>
          <w:szCs w:val="22"/>
        </w:rPr>
        <w:t xml:space="preserve">We are available to provide live demonstrations, access credentials, source code, or any supplemental information at your request.</w:t>
      </w:r>
    </w:p>
    <w:p>
      <w:pPr>
        <w:spacing w:after="100"/>
      </w:pPr>
    </w:p>
    <w:p>
      <w:pPr>
        <w:spacing w:after="120"/>
      </w:pPr>
      <w:r>
        <w:rPr>
          <w:rFonts w:ascii="Arial" w:cs="Arial" w:eastAsia="Arial" w:hAnsi="Arial"/>
          <w:sz w:val="22"/>
          <w:szCs w:val="22"/>
        </w:rPr>
        <w:t xml:space="preserve">Respectfully submitted,</w:t>
      </w:r>
    </w:p>
    <w:p>
      <w:pPr>
        <w:spacing w:after="200"/>
      </w:pPr>
    </w:p>
    <w:p>
      <w:pPr>
        <w:spacing w:after="120"/>
      </w:pPr>
      <w:r>
        <w:rPr>
          <w:rFonts w:ascii="Arial" w:cs="Arial" w:eastAsia="Arial" w:hAnsi="Arial"/>
          <w:sz w:val="22"/>
          <w:szCs w:val="22"/>
        </w:rPr>
        <w:t xml:space="preserve">_________________________________</w:t>
      </w:r>
    </w:p>
    <w:p>
      <w:pPr>
        <w:spacing w:after="120"/>
      </w:pPr>
      <w:r>
        <w:rPr>
          <w:rFonts w:ascii="Arial" w:cs="Arial" w:eastAsia="Arial" w:hAnsi="Arial"/>
          <w:sz w:val="22"/>
          <w:szCs w:val="22"/>
        </w:rPr>
        <w:t xml:space="preserve">Mike Penn, WealthBridge Financial Group</w:t>
      </w:r>
    </w:p>
    <w:p>
      <w:r>
        <w:rPr>
          <w:rFonts w:ascii="Arial" w:cs="Arial" w:eastAsia="Arial" w:hAnsi="Arial"/>
        </w:rPr>
        <w:t xml:space="preserve"/>
      </w:r>
      <w:r>
        <w:br w:type="page"/>
      </w:r>
    </w:p>
    <w:p>
      <w:pPr>
        <w:pStyle w:val="Heading1"/>
      </w:pPr>
      <w:r>
        <w:t xml:space="preserve">Section 1: FINRA Rule 2210 — Communication Classification</w:t>
      </w:r>
    </w:p>
    <w:p>
      <w:pPr>
        <w:pStyle w:val="Heading2"/>
      </w:pPr>
      <w:r>
        <w:t xml:space="preserve">1.1  Classification Analysis</w:t>
      </w:r>
    </w:p>
    <w:p>
      <w:pPr>
        <w:spacing w:after="120"/>
      </w:pPr>
      <w:r>
        <w:rPr>
          <w:rFonts w:ascii="Arial" w:cs="Arial" w:eastAsia="Arial" w:hAnsi="Arial"/>
          <w:sz w:val="22"/>
          <w:szCs w:val="22"/>
        </w:rPr>
        <w:t xml:space="preserve">FINRA Rule 2210 classifies member communications into three categories: retail communications (distributed to &gt;25 retail investors in 30 days), correspondence (≤25 retail investors in 30 days), and institutional communications (only to institutional investors). Classification determines pre-approval, filing, and recordkeeping obligations.</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Criterion</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Standalone HTML</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Stewardly-Hosted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Distribution method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Downloadable file shared by rep with clients; posted on rep websites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Web application accessible via URL; embedded in Stewardly platform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Audience reach</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Available to &gt;25 retail investors within 30-day period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Available to &gt;25 retail investors within 30-day period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Classification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RETAIL COMMUNICATION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RETAIL COMMUNICATION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Basis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Rule 2210(a)(5): electronic communication distributed to &gt;25 retail investors in any 30-day period</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Rule 2210(a)(5): web-hosted tool accessible by unlimited retail investors</w:t>
            </w:r>
          </w:p>
        </w:tc>
      </w:tr>
    </w:tbl>
    <w:p>
      <w:pPr>
        <w:spacing w:after="100"/>
      </w:pPr>
    </w:p>
    <w:p>
      <w:pPr>
        <w:spacing w:after="120"/>
      </w:pPr>
      <w:r>
        <w:rPr>
          <w:rFonts w:ascii="Arial" w:cs="Arial" w:eastAsia="Arial" w:hAnsi="Arial"/>
          <w:b/>
          <w:bCs/>
          <w:sz w:val="22"/>
          <w:szCs w:val="22"/>
        </w:rPr>
        <w:t xml:space="preserve">Classification: RETAIL COMMUNICATION (both versions)</w:t>
      </w:r>
    </w:p>
    <w:p>
      <w:pPr>
        <w:spacing w:after="120"/>
      </w:pPr>
      <w:r>
        <w:rPr>
          <w:rFonts w:ascii="Arial" w:cs="Arial" w:eastAsia="Arial" w:hAnsi="Arial"/>
          <w:sz w:val="22"/>
          <w:szCs w:val="22"/>
        </w:rPr>
        <w:t xml:space="preserve">Both versions are electronic communications made available to more than 25 retail investors within any 30-calendar-day period, satisfying the Rule 2210(a)(5) definition.</w:t>
      </w:r>
    </w:p>
    <w:p>
      <w:pPr>
        <w:pStyle w:val="Heading2"/>
      </w:pPr>
      <w:r>
        <w:t xml:space="preserve">1.2  Pre-Approval and Access Requirements</w:t>
      </w:r>
    </w:p>
    <w:p>
      <w:pPr>
        <w:spacing w:after="120"/>
      </w:pPr>
      <w:r>
        <w:rPr>
          <w:rFonts w:ascii="Arial" w:cs="Arial" w:eastAsia="Arial" w:hAnsi="Arial"/>
          <w:sz w:val="22"/>
          <w:szCs w:val="22"/>
        </w:rPr>
        <w:t xml:space="preserve">As retail communications, the following obligations apply:</w:t>
      </w:r>
    </w:p>
    <w:p>
      <w:pPr>
        <w:spacing w:after="50"/>
      </w:pPr>
    </w:p>
    <w:p>
      <w:pPr>
        <w:pStyle w:val="ListParagraph"/>
        <w:numPr>
          <w:ilvl w:val="0"/>
          <w:numId w:val="3"/>
        </w:numPr>
        <w:spacing w:after="60"/>
      </w:pPr>
      <w:r>
        <w:rPr>
          <w:rFonts w:ascii="Arial" w:cs="Arial" w:eastAsia="Arial" w:hAnsi="Arial"/>
          <w:sz w:val="22"/>
          <w:szCs w:val="22"/>
        </w:rPr>
        <w:t xml:space="preserve">Principal Pre-Approval: An appropriately qualified ESI registered principal must approve all calculator interfaces, outputs, and disclosure language before first use (Rule 2210(b)(1)(A))</w:t>
      </w:r>
    </w:p>
    <w:p>
      <w:pPr>
        <w:pStyle w:val="ListParagraph"/>
        <w:numPr>
          <w:ilvl w:val="0"/>
          <w:numId w:val="3"/>
        </w:numPr>
        <w:spacing w:after="60"/>
      </w:pPr>
      <w:r>
        <w:rPr>
          <w:rFonts w:ascii="Arial" w:cs="Arial" w:eastAsia="Arial" w:hAnsi="Arial"/>
          <w:sz w:val="22"/>
          <w:szCs w:val="22"/>
        </w:rPr>
        <w:t xml:space="preserve">FINRA Access Upon Request: Per the amended Rule 2214 (Regulatory Notice 16-41, effective October 2016), the mandatory 10-business-day filing requirement for investment analysis tool templates was eliminated. Instead, ESI must provide FINRA’s Advertising Regulation Department with access to the tools upon request</w:t>
      </w:r>
    </w:p>
    <w:p>
      <w:pPr>
        <w:pStyle w:val="ListParagraph"/>
        <w:numPr>
          <w:ilvl w:val="0"/>
          <w:numId w:val="3"/>
        </w:numPr>
        <w:spacing w:after="60"/>
      </w:pPr>
      <w:r>
        <w:rPr>
          <w:rFonts w:ascii="Arial" w:cs="Arial" w:eastAsia="Arial" w:hAnsi="Arial"/>
          <w:sz w:val="22"/>
          <w:szCs w:val="22"/>
        </w:rPr>
        <w:t xml:space="preserve">Material Change Notification: Any material change to the presentation of information or disclosures requires re-notification to the Department and additional access (Rule 2214, Supplementary Material .03)</w:t>
      </w:r>
    </w:p>
    <w:p>
      <w:pPr>
        <w:pStyle w:val="ListParagraph"/>
        <w:numPr>
          <w:ilvl w:val="0"/>
          <w:numId w:val="3"/>
        </w:numPr>
        <w:spacing w:after="60"/>
      </w:pPr>
      <w:r>
        <w:rPr>
          <w:rFonts w:ascii="Arial" w:cs="Arial" w:eastAsia="Arial" w:hAnsi="Arial"/>
          <w:sz w:val="22"/>
          <w:szCs w:val="22"/>
        </w:rPr>
        <w:t xml:space="preserve">Record Retention: All calculator files and outputs must be retained per SEC Rule 17a-4(b) (3 years from last use, first 2 years in accessible place)</w:t>
      </w:r>
    </w:p>
    <w:p>
      <w:pPr>
        <w:spacing w:after="50"/>
      </w:pPr>
    </w:p>
    <w:p>
      <w:pPr>
        <w:spacing w:after="120"/>
      </w:pPr>
      <w:r>
        <w:rPr>
          <w:rFonts w:ascii="Arial" w:cs="Arial" w:eastAsia="Arial" w:hAnsi="Arial"/>
          <w:sz w:val="22"/>
          <w:szCs w:val="22"/>
        </w:rPr>
        <w:t xml:space="preserve">Note: The Rule 2210(d)(1)(F) prohibition on projections of performance does not apply to investment analysis tools that meet the requirements of Rule 2214, which is the basis for this submission. Additionally, certain features of the calculators (basic compound growth illustrations, time-value-of-money calculations) may independently qualify under the Rule 2210(d)(1)(F)(i) exception for hypothetical illustrations of mathematical principles that do not predict or project the performance of an investment or investment strategy.</w:t>
      </w:r>
    </w:p>
    <w:p>
      <w:pPr>
        <w:pStyle w:val="Heading2"/>
      </w:pPr>
      <w:r>
        <w:t xml:space="preserve">1.3  Content Standards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Standard</w:t>
            </w:r>
          </w:p>
        </w:tc>
        <w:tc>
          <w:tcPr>
            <w:tcW w:type="dxa" w:w="5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misleading claims (d)(1)(A)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outputs labeled as projections/estimates; no guarantees of performance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exaggerated claims (d)(1)(B)</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Default assumptions use conservative benchmarks; override warnings for user deviations</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Projections exception (d)(1)(F)(ii)</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Calculators qualify under Rule 2214 investment analysis tool exception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Fair and balanced (d)(1)(A)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Risk factors, limitations, and assumptions prominently displayed; methodology accessible from every screen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Member name disclosure (d)(3)</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ESI/NLG name, FINRA/SIPC membership, and contact displayed in every page footer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Securities Act Rule 156 anti-fraud</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statements omitting material facts; no misleading representations about investment outcomes (per Rule 2214 Supp. Material .05)</w:t>
            </w:r>
          </w:p>
        </w:tc>
      </w:tr>
    </w:tbl>
    <w:p>
      <w:r>
        <w:rPr>
          <w:rFonts w:ascii="Arial" w:cs="Arial" w:eastAsia="Arial" w:hAnsi="Arial"/>
        </w:rPr>
        <w:t xml:space="preserve"/>
      </w:r>
      <w:r>
        <w:br w:type="page"/>
      </w:r>
    </w:p>
    <w:p>
      <w:pPr>
        <w:pStyle w:val="Heading1"/>
      </w:pPr>
      <w:r>
        <w:t xml:space="preserve">Section 2: FINRA Rule 2214 — Investment Analysis Tool Qualification</w:t>
      </w:r>
    </w:p>
    <w:p>
      <w:pPr>
        <w:pStyle w:val="Heading2"/>
      </w:pPr>
      <w:r>
        <w:t xml:space="preserve">2.1  Definition and Applicability</w:t>
      </w:r>
    </w:p>
    <w:p>
      <w:pPr>
        <w:spacing w:after="120"/>
      </w:pPr>
      <w:r>
        <w:rPr>
          <w:rFonts w:ascii="Arial" w:cs="Arial" w:eastAsia="Arial" w:hAnsi="Arial"/>
          <w:sz w:val="22"/>
          <w:szCs w:val="22"/>
        </w:rPr>
        <w:t xml:space="preserve">FINRA Rule 2214(b) defines an “investment analysis tool” as “an interactive technological tool that produces simulations and statistical analyses that present the likelihood of various investment outcomes if certain investments are made or certain investment strategies or styles are undertaken, thereby serving as an additional resource to investors in the evaluation of the potential risks and returns of investment choices.”</w:t>
      </w:r>
    </w:p>
    <w:p>
      <w:pPr>
        <w:spacing w:after="50"/>
      </w:pPr>
    </w:p>
    <w:p>
      <w:pPr>
        <w:spacing w:after="120"/>
      </w:pPr>
      <w:r>
        <w:rPr>
          <w:rFonts w:ascii="Arial" w:cs="Arial" w:eastAsia="Arial" w:hAnsi="Arial"/>
          <w:sz w:val="22"/>
          <w:szCs w:val="22"/>
        </w:rPr>
        <w:t xml:space="preserve">The WealthBridge calculators satisfy every element of this definition: they are interactive (user-driven inputs), they produce simulations (forward projections based on user parameters), they present likelihoods of outcomes (Monte Carlo probability bands in the Client Calculator, deterministic projections with sensitivity ranges in all calculators), and they serve as additional educational resources rather than generating recommendations.</w:t>
      </w:r>
    </w:p>
    <w:p>
      <w:pPr>
        <w:pStyle w:val="Heading2"/>
      </w:pPr>
      <w:r>
        <w:t xml:space="preserve">2.2  User Input → Output Path Documentation</w:t>
      </w:r>
    </w:p>
    <w:p>
      <w:pPr>
        <w:spacing w:after="120"/>
      </w:pPr>
      <w:r>
        <w:rPr>
          <w:rFonts w:ascii="Arial" w:cs="Arial" w:eastAsia="Arial" w:hAnsi="Arial"/>
          <w:sz w:val="22"/>
          <w:szCs w:val="22"/>
        </w:rPr>
        <w:t xml:space="preserve">Rule 2214 requires that user inputs materially drive the tool’s outputs. The following documents each major input category and its corresponding computational effect.</w:t>
      </w:r>
    </w:p>
    <w:p>
      <w:pPr>
        <w:spacing w:after="50"/>
      </w:pPr>
    </w:p>
    <w:p>
      <w:pPr>
        <w:pStyle w:val="Heading3"/>
      </w:pPr>
      <w:r>
        <w:t xml:space="preserve">2.2.1  Client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User Input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Computational Effect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Output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Current age, retirement 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Defines accumulation/distribution horizons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projection timelines, retirement income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Current savings &amp; contribution rate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Seeds compound growth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Projected retirement balance, net worth trajectory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Annual income &amp; filing status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Drives tax-adjusted return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After-tax wealth, Roth vs. traditional comparison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Risk tolerance / asset allocation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Adjusts expected return and volatility parameters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Monte Carlo probability bands, downside scenarios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Insurance coverage inputs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Triggers needs-gap analysis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Coverage recommendation, premium projections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Strategy selection overrides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Activates/deactivates strategy comparison modules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Strategy comparison table, recommendation narrative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Rate-of-return assumptions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Directly modifies growth engine parameters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forward projections, wealth accumulation curves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Inflation rate override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Adjusts real-return and purchasing-power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Purchasing-power-adjusted projections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Premium financing parameters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Activates leverage modeling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Financing cost/benefit analysis, net arbitrage projection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Social Security claiming age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Modifies benefit calculation and integration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Retirement income floor, optimal claiming analysis</w:t>
            </w:r>
          </w:p>
        </w:tc>
      </w:tr>
    </w:tbl>
    <w:p>
      <w:pPr>
        <w:spacing w:after="100"/>
      </w:pPr>
    </w:p>
    <w:p>
      <w:pPr>
        <w:pStyle w:val="Heading3"/>
      </w:pPr>
      <w:r>
        <w:t xml:space="preserve">2.2.2  Business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User Input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Computational Effect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Output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Hierarchy level / track selection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Defines commission rates and override structures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Income projections, advancement timeline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Referral count assumptions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Seeds downline growth model</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Team size trajectory, hierarchy income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Personal production volume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Drives direct commission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Personal income, production bonus eligibility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Retention and persistency rates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Adjusts renewal income calculations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Recurring revenue projections, book-of-business value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Practice expense inputs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Feeds net income calculation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Net practice income, breakeven analysis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Personal wealth integration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Links practice income to personal wealth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Integrated net worth, retirement readiness score</w:t>
            </w:r>
          </w:p>
        </w:tc>
      </w:tr>
    </w:tbl>
    <w:p>
      <w:pPr>
        <w:spacing w:after="100"/>
      </w:pPr>
    </w:p>
    <w:p>
      <w:pPr>
        <w:pStyle w:val="Heading3"/>
      </w:pPr>
      <w:r>
        <w:t xml:space="preserve">2.2.3  Quick Quote Calculator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User Input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Computational Effect</w:t>
            </w:r>
          </w:p>
        </w:tc>
        <w:tc>
          <w:tcPr>
            <w:tcW w:type="dxa" w:w="32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Output Changed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Age, gender, health classification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Selects mortality/rating class tables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Premium range estimates, product eligibility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Coverage amount requested</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Scales premium calculation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Monthly/annual premium estimate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Product type selection</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Routes to product-specific rating engine</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Product-specific illustration outputs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Rider selections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Adds rider cost calculations to base premium</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Total premium with riders, benefit summary</w:t>
            </w:r>
          </w:p>
        </w:tc>
      </w:tr>
    </w:tbl>
    <w:p>
      <w:pPr>
        <w:pStyle w:val="Heading2"/>
      </w:pPr>
      <w:r>
        <w:t xml:space="preserve">2.3  Mandatory Disclosures (Rule 2214(c))</w:t>
      </w:r>
    </w:p>
    <w:p>
      <w:pPr>
        <w:spacing w:after="120"/>
      </w:pPr>
      <w:r>
        <w:rPr>
          <w:rFonts w:ascii="Arial" w:cs="Arial" w:eastAsia="Arial" w:hAnsi="Arial"/>
          <w:sz w:val="22"/>
          <w:szCs w:val="22"/>
        </w:rPr>
        <w:t xml:space="preserve">Rule 2214(c) requires specific disclosures that must be “clear and prominent” and in “written (which may be electronic) narrative form.” The following have been implemented:</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80"/>
        <w:gridCol w:w="298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35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Implementation</w:t>
            </w:r>
          </w:p>
        </w:tc>
        <w:tc>
          <w:tcPr>
            <w:tcW w:type="dxa" w:w="2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Placement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(c)(1) Criteria and methodology, including limitations and key assumptions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Methodology &amp; Assumptions expandable panel describing all calculation engines, data sources, mathematical models, and their limitations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Persistent link in tool header accessible from every screen; full text in dedicated methodology section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(c)(2) Results may vary with each use and over time; describe universe of investments if applicable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Variability statement and universe description displayed above every output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Output header on every results screen; repeated in PDF/print exports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(c)(3) How tool determines which investments to select; whether it favors certain securities and why</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Selection methodology and NLG product favoritism disclosures</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Disclosure footer on every screen; inline with strategy comparison results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(c)(4) Other investments not considered may have similar or superior characteristics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Universal alternatives disclaimer</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Persistent footer on all output screens; PDF export cover page</w:t>
            </w:r>
          </w:p>
        </w:tc>
      </w:tr>
    </w:tbl>
    <w:p>
      <w:pPr>
        <w:pStyle w:val="Heading2"/>
      </w:pPr>
      <w:r>
        <w:t xml:space="preserve">2.4  Verbatim Prescribed Disclosure (Rule 2214(d))</w:t>
      </w:r>
    </w:p>
    <w:p>
      <w:pPr>
        <w:spacing w:after="120"/>
      </w:pPr>
      <w:r>
        <w:rPr>
          <w:rFonts w:ascii="Arial" w:cs="Arial" w:eastAsia="Arial" w:hAnsi="Arial"/>
          <w:sz w:val="22"/>
          <w:szCs w:val="22"/>
        </w:rPr>
        <w:t xml:space="preserve">Rule 2214(d) requires the following specific disclosure to be displayed. This exact language (with tool name inserted) appears on every output screen and every PDF export:</w:t>
      </w:r>
    </w:p>
    <w:p>
      <w:pPr>
        <w:spacing w:after="50"/>
      </w:pPr>
    </w:p>
    <w:p>
      <w:pPr>
        <w:pBdr>
          <w:left w:val="single" w:color="2E75B6" w:sz="12" w:space="8"/>
        </w:pBdr>
        <w:spacing w:after="120"/>
        <w:ind w:left="360" w:right="360"/>
      </w:pPr>
      <w:r>
        <w:rPr>
          <w:rFonts w:ascii="Arial" w:cs="Arial" w:eastAsia="Arial" w:hAnsi="Arial"/>
          <w:b/>
          <w:bCs/>
          <w:i/>
          <w:iCs/>
          <w:sz w:val="22"/>
          <w:szCs w:val="22"/>
        </w:rPr>
        <w:t xml:space="preserve">IMPORTANT: The projections or other information generated by the WealthBridge Calculator regarding the likelihood of various investment outcomes are hypothetical in nature, do not reflect actual investment results and are not guarantees of future results.</w:t>
      </w:r>
    </w:p>
    <w:p>
      <w:pPr>
        <w:spacing w:after="50"/>
      </w:pPr>
    </w:p>
    <w:p>
      <w:pPr>
        <w:spacing w:after="120"/>
      </w:pPr>
      <w:r>
        <w:rPr>
          <w:rFonts w:ascii="Arial" w:cs="Arial" w:eastAsia="Arial" w:hAnsi="Arial"/>
          <w:sz w:val="22"/>
          <w:szCs w:val="22"/>
        </w:rPr>
        <w:t xml:space="preserve">This disclosure appears in the following locations across all three calculators: (1) prominently above the first output display on every results screen, (2) as a header on every PDF/print export, (3) at the bottom of every strategy comparison table, and (4) in the tool’s footer alongside the methodology link.</w:t>
      </w:r>
    </w:p>
    <w:p>
      <w:pPr>
        <w:pStyle w:val="Heading2"/>
      </w:pPr>
      <w:r>
        <w:t xml:space="preserve">2.5  Methodology Transparency</w:t>
      </w:r>
    </w:p>
    <w:p>
      <w:pPr>
        <w:spacing w:after="120"/>
      </w:pPr>
      <w:r>
        <w:rPr>
          <w:rFonts w:ascii="Arial" w:cs="Arial" w:eastAsia="Arial" w:hAnsi="Arial"/>
          <w:sz w:val="22"/>
          <w:szCs w:val="22"/>
        </w:rPr>
        <w:t xml:space="preserve">Each calculator includes a dedicated Methodology section accessible from a persistent, non-gated link in the tool interface. The section documents: mathematical formulas for compound growth, tax-adjusted returns, and Monte Carlo simulations; data sources for default assumptions (mortality tables, historical market returns, inflation benchmarks, tax brackets); explanation of how user-modified assumptions affect outputs; statement of limitations; description of any proprietary algorithms and their validation; identification of all default values and their sources with instructions for override.</w:t>
      </w:r>
    </w:p>
    <w:p>
      <w:r>
        <w:rPr>
          <w:rFonts w:ascii="Arial" w:cs="Arial" w:eastAsia="Arial" w:hAnsi="Arial"/>
        </w:rPr>
        <w:t xml:space="preserve"/>
      </w:r>
      <w:r>
        <w:br w:type="page"/>
      </w:r>
    </w:p>
    <w:p>
      <w:pPr>
        <w:pStyle w:val="Heading1"/>
      </w:pPr>
      <w:r>
        <w:t xml:space="preserve">Section 3: SEC Marketing Rule — Interactive Analysis Tool Exclusion</w:t>
      </w:r>
    </w:p>
    <w:p>
      <w:pPr>
        <w:pStyle w:val="Heading2"/>
      </w:pPr>
      <w:r>
        <w:t xml:space="preserve">3.1  Regulatory Framework</w:t>
      </w:r>
    </w:p>
    <w:p>
      <w:pPr>
        <w:spacing w:after="120"/>
      </w:pPr>
      <w:r>
        <w:rPr>
          <w:rFonts w:ascii="Arial" w:cs="Arial" w:eastAsia="Arial" w:hAnsi="Arial"/>
          <w:sz w:val="22"/>
          <w:szCs w:val="22"/>
        </w:rPr>
        <w:t xml:space="preserve">The SEC Marketing Rule (Advisers Act Rule 206(4)-1) restricts hypothetical performance in adviser advertisements. However, Rule 206(4)-1(e)(8) explicitly excludes “interactive analysis tools” from the definition of “hypothetical performance.” Because ESI Financial Advisors (EFA) is a registered investment adviser, calculator use in an advisory context must satisfy this exclusion.</w:t>
      </w:r>
    </w:p>
    <w:p>
      <w:pPr>
        <w:spacing w:after="50"/>
      </w:pPr>
    </w:p>
    <w:p>
      <w:pPr>
        <w:spacing w:after="120"/>
      </w:pPr>
      <w:r>
        <w:rPr>
          <w:rFonts w:ascii="Arial" w:cs="Arial" w:eastAsia="Arial" w:hAnsi="Arial"/>
          <w:sz w:val="22"/>
          <w:szCs w:val="22"/>
        </w:rPr>
        <w:t xml:space="preserve">The key distinction: the WealthBridge calculators are user-driven tools that produce dynamically computed projections based solely on user inputs. They do not present pre-determined model portfolio returns, back-tested performance, or targeted returns. Users provide all material inputs and the tool computes outputs accordingly.</w:t>
      </w:r>
    </w:p>
    <w:p>
      <w:pPr>
        <w:pStyle w:val="Heading2"/>
      </w:pPr>
      <w:r>
        <w:t xml:space="preserve">3.2  Five-Condition Qualification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SEC Condition (Rule 206(4)-1(e)(8))</w:t>
            </w:r>
          </w:p>
        </w:tc>
        <w:tc>
          <w:tcPr>
            <w:tcW w:type="dxa" w:w="5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WealthBridge Implementation</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 Describes criteria and methodology, including limitations and key assumptions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Methodology &amp; Assumptions panel on every screen; describes engines, limitations, data sources, and key assumptions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(B) Explains results may vary with each use and over time; are hypothetical; describes universe of investments if applicable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Above every output: “These results are hypothetical in nature, will vary with each use and over time, and do not represent actual investment performance.” Universe statement included.</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 Explains how the tool determines which investments to select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Selection methodology: “User inputs determine which strategies appear. No automated security selection occurs.”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 Discloses if tool favors certain investments; explains reason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NLG product disclosure: “When this tool references products available through National Life Group, this reflects the distribution relationship. Other providers’ products are not modeled but may offer comparable or superior features.”</w:t>
            </w:r>
          </w:p>
        </w:tc>
      </w:tr>
      <w:t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(E) States that other investments not considered may have similar or superior characteristics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Universal disclaimer on all output screens and PDF exports</w:t>
            </w:r>
          </w:p>
        </w:tc>
      </w:tr>
    </w:tbl>
    <w:p>
      <w:pPr>
        <w:pStyle w:val="Heading2"/>
      </w:pPr>
      <w:r>
        <w:t xml:space="preserve">3.3  Policies and Procedures</w:t>
      </w:r>
    </w:p>
    <w:p>
      <w:pPr>
        <w:spacing w:after="120"/>
      </w:pPr>
      <w:r>
        <w:rPr>
          <w:rFonts w:ascii="Arial" w:cs="Arial" w:eastAsia="Arial" w:hAnsi="Arial"/>
          <w:sz w:val="22"/>
          <w:szCs w:val="22"/>
        </w:rPr>
        <w:t xml:space="preserve">ESI/EFA should adopt policies and procedures that: (1) verify all five disclosure conditions before any calculator deployment; (2) prohibit representatives from presenting outputs as guarantees or predictions; (3) require full disclosure language on all printed/exported outputs; (4) establish annual compliance verification; (5) maintain records of all calculator versions and disclosures per amended Rule 204-2.</w:t>
      </w:r>
    </w:p>
    <w:p>
      <w:r>
        <w:rPr>
          <w:rFonts w:ascii="Arial" w:cs="Arial" w:eastAsia="Arial" w:hAnsi="Arial"/>
        </w:rPr>
        <w:t xml:space="preserve"/>
      </w:r>
      <w:r>
        <w:br w:type="page"/>
      </w:r>
    </w:p>
    <w:p>
      <w:pPr>
        <w:pStyle w:val="Heading1"/>
      </w:pPr>
      <w:r>
        <w:t xml:space="preserve">Section 4: SEC Regulation Best Interest (Reg BI)</w:t>
      </w:r>
    </w:p>
    <w:p>
      <w:pPr>
        <w:pStyle w:val="Heading2"/>
      </w:pPr>
      <w:r>
        <w:t xml:space="preserve">4.1  Applicability to Calculator Tools</w:t>
      </w:r>
    </w:p>
    <w:p>
      <w:pPr>
        <w:spacing w:after="120"/>
      </w:pPr>
      <w:r>
        <w:rPr>
          <w:rFonts w:ascii="Arial" w:cs="Arial" w:eastAsia="Arial" w:hAnsi="Arial"/>
          <w:sz w:val="22"/>
          <w:szCs w:val="22"/>
        </w:rPr>
        <w:t xml:space="preserve">Regulation Best Interest (17 CFR § 240.15l-1) establishes a “best interest” standard of conduct for broker-dealers when making recommendations to retail customers. The standard applies at the time a recommendation is made regarding any securities transaction or investment strategy involving securities.</w:t>
      </w:r>
    </w:p>
    <w:p>
      <w:pPr>
        <w:spacing w:after="50"/>
      </w:pPr>
    </w:p>
    <w:p>
      <w:pPr>
        <w:spacing w:after="120"/>
      </w:pPr>
      <w:r>
        <w:rPr>
          <w:rFonts w:ascii="Arial" w:cs="Arial" w:eastAsia="Arial" w:hAnsi="Arial"/>
          <w:b/>
          <w:bCs/>
          <w:sz w:val="22"/>
          <w:szCs w:val="22"/>
        </w:rPr>
        <w:t xml:space="preserve">Critical Distinction: The WealthBridge calculators are educational and informational tools. They do not, by themselves, constitute a “recommendation” under Reg BI. However, when a representative uses calculator outputs to support or make a recommendation to a retail customer, Reg BI’s four component obligations apply to that recommendation.</w:t>
      </w:r>
    </w:p>
    <w:p>
      <w:pPr>
        <w:pStyle w:val="Heading2"/>
      </w:pPr>
      <w:r>
        <w:t xml:space="preserve">4.2  Reg BI Obligations When Using Calculator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Reg BI Obligation</w:t>
            </w:r>
          </w:p>
        </w:tc>
        <w:tc>
          <w:tcPr>
            <w:tcW w:type="dxa" w:w="6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Application to Calculator-Assisted Recommendations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Disclosure Obligation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Representative must disclose material facts about the recommendation, including that the calculator is an educational tool, its limitations, and any conflicts of interest (e.g., NLG product availability). Form CRS must be provided to retail customers.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Care Obligation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Representative must exercise reasonable diligence, care, and skill. Using calculator outputs does not substitute for independent analysis of the customer’s investment profile. Reps must not rely solely on calculator projections.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Conflict of Interest Obligation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 must maintain written policies addressing conflicts arising from the calculator’s modeling of NLG products. The tool’s NLG product favoritism disclosure (see Section 2.3, item (c)(3)) addresses this at the tool level; rep-level conflict policies must also be maintained.</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Compliance Obligation</w:t>
            </w:r>
          </w:p>
        </w:tc>
        <w:tc>
          <w:tcPr>
            <w:tcW w:type="dxa" w:w="6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 must maintain written policies and procedures for calculator use that are reasonably designed to achieve compliance with Reg BI. This includes training materials and supervisory procedures for calculator-assisted recommendations.</w:t>
            </w:r>
          </w:p>
        </w:tc>
      </w:tr>
    </w:tbl>
    <w:p>
      <w:pPr>
        <w:spacing w:after="100"/>
      </w:pPr>
    </w:p>
    <w:p>
      <w:pPr>
        <w:pStyle w:val="Heading2"/>
      </w:pPr>
      <w:r>
        <w:t xml:space="preserve">4.3  Calculator Design Safeguards for Reg BI</w:t>
      </w:r>
    </w:p>
    <w:p>
      <w:pPr>
        <w:spacing w:after="120"/>
      </w:pPr>
      <w:r>
        <w:rPr>
          <w:rFonts w:ascii="Arial" w:cs="Arial" w:eastAsia="Arial" w:hAnsi="Arial"/>
          <w:sz w:val="22"/>
          <w:szCs w:val="22"/>
        </w:rPr>
        <w:t xml:space="preserve">The calculators incorporate the following design features to support Reg BI compliance by representatives:</w:t>
      </w:r>
    </w:p>
    <w:p>
      <w:pPr>
        <w:spacing w:after="50"/>
      </w:pPr>
    </w:p>
    <w:p>
      <w:pPr>
        <w:pStyle w:val="ListParagraph"/>
        <w:numPr>
          <w:ilvl w:val="0"/>
          <w:numId w:val="2"/>
        </w:numPr>
        <w:spacing w:after="60"/>
      </w:pPr>
      <w:r>
        <w:rPr>
          <w:rFonts w:ascii="Arial" w:cs="Arial" w:eastAsia="Arial" w:hAnsi="Arial"/>
          <w:sz w:val="22"/>
          <w:szCs w:val="22"/>
        </w:rPr>
        <w:t xml:space="preserve">No automated recommendations: The tool presents comparative analysis and projections but does not recommend specific securities, products, or strategies. The representative must exercise independent judgment.</w:t>
      </w:r>
    </w:p>
    <w:p>
      <w:pPr>
        <w:pStyle w:val="ListParagraph"/>
        <w:numPr>
          <w:ilvl w:val="0"/>
          <w:numId w:val="2"/>
        </w:numPr>
        <w:spacing w:after="60"/>
      </w:pPr>
      <w:r>
        <w:rPr>
          <w:rFonts w:ascii="Arial" w:cs="Arial" w:eastAsia="Arial" w:hAnsi="Arial"/>
          <w:sz w:val="22"/>
          <w:szCs w:val="22"/>
        </w:rPr>
        <w:t xml:space="preserve">Balanced presentation: Strategy comparisons display advantages, disadvantages, costs, and risks for each option rather than promoting a single solution.</w:t>
      </w:r>
    </w:p>
    <w:p>
      <w:pPr>
        <w:pStyle w:val="ListParagraph"/>
        <w:numPr>
          <w:ilvl w:val="0"/>
          <w:numId w:val="2"/>
        </w:numPr>
        <w:spacing w:after="60"/>
      </w:pPr>
      <w:r>
        <w:rPr>
          <w:rFonts w:ascii="Arial" w:cs="Arial" w:eastAsia="Arial" w:hAnsi="Arial"/>
          <w:sz w:val="22"/>
          <w:szCs w:val="22"/>
        </w:rPr>
        <w:t xml:space="preserve">Limitations disclosure: Every output prominently states that calculator results are hypothetical and should not be the sole basis for investment decisions.</w:t>
      </w:r>
    </w:p>
    <w:p>
      <w:pPr>
        <w:pStyle w:val="ListParagraph"/>
        <w:numPr>
          <w:ilvl w:val="0"/>
          <w:numId w:val="2"/>
        </w:numPr>
        <w:spacing w:after="60"/>
      </w:pPr>
      <w:r>
        <w:rPr>
          <w:rFonts w:ascii="Arial" w:cs="Arial" w:eastAsia="Arial" w:hAnsi="Arial"/>
          <w:sz w:val="22"/>
          <w:szCs w:val="22"/>
        </w:rPr>
        <w:t xml:space="preserve">Form CRS reminder: When generating client-facing outputs, the tool includes a reminder that Form CRS should be provided in connection with any recommendation.</w:t>
      </w:r>
    </w:p>
    <w:p>
      <w:pPr>
        <w:pStyle w:val="Heading2"/>
      </w:pPr>
      <w:r>
        <w:t xml:space="preserve">4.4  Recommendation Boundary Analysis</w:t>
      </w:r>
    </w:p>
    <w:p>
      <w:pPr>
        <w:spacing w:after="120"/>
      </w:pPr>
      <w:r>
        <w:rPr>
          <w:rFonts w:ascii="Arial" w:cs="Arial" w:eastAsia="Arial" w:hAnsi="Arial"/>
          <w:sz w:val="22"/>
          <w:szCs w:val="22"/>
        </w:rPr>
        <w:t xml:space="preserve">The distinction between “educational tool” and “recommendation” is fact-specific. The following scenarios illustrate where the boundary lies when a representative uses the WealthBridge calculators with a retail client: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980"/>
        <w:gridCol w:w="2980"/>
      </w:tblGrid>
      <w:tr>
        <w:tc>
          <w:tcPr>
            <w:tcW w:type="dxa" w:w="3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Scenario</w:t>
            </w:r>
          </w:p>
        </w:tc>
        <w:tc>
          <w:tcPr>
            <w:tcW w:type="dxa" w:w="2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Classification</w:t>
            </w:r>
          </w:p>
        </w:tc>
        <w:tc>
          <w:tcPr>
            <w:tcW w:type="dxa" w:w="29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Reg BI Applies?</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Client uses calculator independently on a website with no rep involvement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Educational tool; no recommendation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 no rep recommendation made</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runs calculator with client’s inputs to show general retirement trajectory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Educational/informational use</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 informational presentation, no specific recommendation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runs calculator, then says “Based on these numbers, you should consider an IUL policy”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RECOMMENDATION triggered by rep’s statement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YES — Reg BI applies to the IUL recommendation</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uses strategy comparison to show client that Strategy A outperforms Strategy B, then suggests Strategy A</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RECOMMENDATION — the comparison was used to support a specific recommendation</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YES — all four Reg BI obligations apply</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emails client a PDF export of calculator results with no commentary</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Retail communication; not a recommendation absent further context</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 but content standards under Rule 2210 apply to the PDF</w:t>
            </w:r>
          </w:p>
        </w:tc>
      </w:tr>
      <w:tr>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uses calculator output as part of a financial plan delivered under the EFA advisory relationship</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Advisory communication; fiduciary duty applies (beyond Reg BI)</w:t>
            </w:r>
          </w:p>
        </w:tc>
        <w:tc>
          <w:tcPr>
            <w:tcW w:type="dxa" w:w="29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Fiduciary standard applies (higher than Reg BI)</w:t>
            </w:r>
          </w:p>
        </w:tc>
      </w:tr>
    </w:tbl>
    <w:p>
      <w:pPr>
        <w:spacing w:after="100"/>
      </w:pPr>
    </w:p>
    <w:p>
      <w:pPr>
        <w:spacing w:after="120"/>
      </w:pPr>
      <w:r>
        <w:rPr>
          <w:rFonts w:ascii="Arial" w:cs="Arial" w:eastAsia="Arial" w:hAnsi="Arial"/>
          <w:b/>
          <w:bCs/>
          <w:sz w:val="22"/>
          <w:szCs w:val="22"/>
        </w:rPr>
        <w:t xml:space="preserve">Key Principle:</w:t>
      </w:r>
    </w:p>
    <w:p>
      <w:pPr>
        <w:spacing w:after="120"/>
      </w:pPr>
      <w:r>
        <w:rPr>
          <w:rFonts w:ascii="Arial" w:cs="Arial" w:eastAsia="Arial" w:hAnsi="Arial"/>
          <w:sz w:val="22"/>
          <w:szCs w:val="22"/>
        </w:rPr>
        <w:t xml:space="preserve">The calculator itself is never a recommendation. The recommendation, if any, is made by the representative. However, when calculator outputs are used to support, illustrate, or justify a recommendation, the representative must comply with Reg BI (or fiduciary obligations in an EFA advisory context). Training materials for representatives should emphasize this distinction with these specific scenarios.</w:t>
      </w:r>
    </w:p>
    <w:p>
      <w:pPr>
        <w:pStyle w:val="Heading2"/>
      </w:pPr>
      <w:r>
        <w:t xml:space="preserve">4.5  Business Calculator — Securities-Law Considerations</w:t>
      </w:r>
    </w:p>
    <w:p>
      <w:pPr>
        <w:spacing w:after="120"/>
      </w:pPr>
      <w:r>
        <w:rPr>
          <w:rFonts w:ascii="Arial" w:cs="Arial" w:eastAsia="Arial" w:hAnsi="Arial"/>
          <w:sz w:val="22"/>
          <w:szCs w:val="22"/>
        </w:rPr>
        <w:t xml:space="preserve">The Business Calculator models practice-building economics including hierarchy income, affiliate referral tracks, and downline growth projections. This raises a threshold question: does modeling the economics of joining or advancing within the ESI/NLG distribution system implicate securities laws?</w:t>
      </w:r>
    </w:p>
    <w:p>
      <w:pPr>
        <w:spacing w:after="50"/>
      </w:pPr>
    </w:p>
    <w:p>
      <w:pPr>
        <w:spacing w:after="120"/>
      </w:pPr>
      <w:r>
        <w:rPr>
          <w:rFonts w:ascii="Arial" w:cs="Arial" w:eastAsia="Arial" w:hAnsi="Arial"/>
          <w:b/>
          <w:bCs/>
          <w:sz w:val="22"/>
          <w:szCs w:val="22"/>
        </w:rPr>
        <w:t xml:space="preserve">Analysis:</w:t>
      </w:r>
    </w:p>
    <w:p>
      <w:pPr>
        <w:spacing w:after="120"/>
      </w:pPr>
      <w:r>
        <w:rPr>
          <w:rFonts w:ascii="Arial" w:cs="Arial" w:eastAsia="Arial" w:hAnsi="Arial"/>
          <w:sz w:val="22"/>
          <w:szCs w:val="22"/>
        </w:rPr>
        <w:t xml:space="preserve">The Business Calculator models practice income — commissions, overrides, and renewal income from insurance and securities sales activities. It does not model returns on an “investment” by the user in a “common enterprise.” The income projected depends on the user’s own sales efforts and team-building activities, not on passive returns from capital invested. Accordingly, the Business Calculator does not model a “security” as defined under the Howey test, and its outputs are not “projections of performance” of an investment.</w:t>
      </w:r>
    </w:p>
    <w:p>
      <w:pPr>
        <w:spacing w:after="50"/>
      </w:pPr>
    </w:p>
    <w:p>
      <w:pPr>
        <w:spacing w:after="120"/>
      </w:pPr>
      <w:r>
        <w:rPr>
          <w:rFonts w:ascii="Arial" w:cs="Arial" w:eastAsia="Arial" w:hAnsi="Arial"/>
          <w:sz w:val="22"/>
          <w:szCs w:val="22"/>
        </w:rPr>
        <w:t xml:space="preserve">However, two safeguards are recommended:</w:t>
      </w:r>
    </w:p>
    <w:p>
      <w:pPr>
        <w:pStyle w:val="ListParagraph"/>
        <w:numPr>
          <w:ilvl w:val="0"/>
          <w:numId w:val="4"/>
        </w:numPr>
        <w:spacing w:after="60"/>
      </w:pPr>
      <w:r>
        <w:rPr>
          <w:rFonts w:ascii="Arial" w:cs="Arial" w:eastAsia="Arial" w:hAnsi="Arial"/>
          <w:sz w:val="22"/>
          <w:szCs w:val="22"/>
        </w:rPr>
        <w:t xml:space="preserve">The Business Calculator should include a disclosure that it models compensation from insurance and securities sales activities, not investment returns, and that actual compensation depends on individual effort and is not guaranteed.</w:t>
      </w:r>
    </w:p>
    <w:p>
      <w:pPr>
        <w:pStyle w:val="ListParagraph"/>
        <w:numPr>
          <w:ilvl w:val="0"/>
          <w:numId w:val="4"/>
        </w:numPr>
        <w:spacing w:after="60"/>
      </w:pPr>
      <w:r>
        <w:rPr>
          <w:rFonts w:ascii="Arial" w:cs="Arial" w:eastAsia="Arial" w:hAnsi="Arial"/>
          <w:sz w:val="22"/>
          <w:szCs w:val="22"/>
        </w:rPr>
        <w:t xml:space="preserve">The Business Calculator should not be used as a “recruiting tool” in any context where the income projections could be construed as promoting an “investment opportunity” rather than a career/business opportunity. ESI’s supervisory procedures should address this distinction.</w:t>
      </w:r>
    </w:p>
    <w:p>
      <w:pPr>
        <w:pStyle w:val="Heading2"/>
      </w:pPr>
      <w:r>
        <w:t xml:space="preserve">4.6  Strategy Comparison Feature — Balancing Requirements</w:t>
      </w:r>
    </w:p>
    <w:p>
      <w:pPr>
        <w:spacing w:after="120"/>
      </w:pPr>
      <w:r>
        <w:rPr>
          <w:rFonts w:ascii="Arial" w:cs="Arial" w:eastAsia="Arial" w:hAnsi="Arial"/>
          <w:sz w:val="22"/>
          <w:szCs w:val="22"/>
        </w:rPr>
        <w:t xml:space="preserve">The Client Calculator’s strategy comparison feature presents side-by-side analysis of multiple financial strategies (e.g., traditional IRA vs. Roth IRA vs. IUL vs. taxable brokerage). This feature requires particular attention to ensure it does not create an implicit recommendation or unfairly favor NLG products:</w:t>
      </w:r>
    </w:p>
    <w:p>
      <w:pPr>
        <w:spacing w:after="50"/>
      </w:pPr>
    </w:p>
    <w:p>
      <w:pPr>
        <w:pStyle w:val="ListParagraph"/>
        <w:numPr>
          <w:ilvl w:val="0"/>
          <w:numId w:val="5"/>
        </w:numPr>
        <w:spacing w:after="60"/>
      </w:pPr>
      <w:r>
        <w:rPr>
          <w:rFonts w:ascii="Arial" w:cs="Arial" w:eastAsia="Arial" w:hAnsi="Arial"/>
          <w:sz w:val="22"/>
          <w:szCs w:val="22"/>
        </w:rPr>
        <w:t xml:space="preserve">Equal Treatment: Every strategy in the comparison must be presented with equal depth of analysis — advantages, disadvantages, costs, tax implications, and risk factors. No strategy may receive disproportionately favorable treatment.</w:t>
      </w:r>
    </w:p>
    <w:p>
      <w:pPr>
        <w:pStyle w:val="ListParagraph"/>
        <w:numPr>
          <w:ilvl w:val="0"/>
          <w:numId w:val="5"/>
        </w:numPr>
        <w:spacing w:after="60"/>
      </w:pPr>
      <w:r>
        <w:rPr>
          <w:rFonts w:ascii="Arial" w:cs="Arial" w:eastAsia="Arial" w:hAnsi="Arial"/>
          <w:sz w:val="22"/>
          <w:szCs w:val="22"/>
        </w:rPr>
        <w:t xml:space="preserve">Cost Transparency: If an NLG insurance product is compared against investment alternatives, all costs must be fully disclosed for each strategy, including insurance charges, surrender charges, management fees, and tax costs.</w:t>
      </w:r>
    </w:p>
    <w:p>
      <w:pPr>
        <w:pStyle w:val="ListParagraph"/>
        <w:numPr>
          <w:ilvl w:val="0"/>
          <w:numId w:val="5"/>
        </w:numPr>
        <w:spacing w:after="60"/>
      </w:pPr>
      <w:r>
        <w:rPr>
          <w:rFonts w:ascii="Arial" w:cs="Arial" w:eastAsia="Arial" w:hAnsi="Arial"/>
          <w:sz w:val="22"/>
          <w:szCs w:val="22"/>
        </w:rPr>
        <w:t xml:space="preserve">No Default Bias: The tool must not default to an NLG product as the “recommended” strategy. User inputs alone must determine the comparative outcomes.</w:t>
      </w:r>
    </w:p>
    <w:p>
      <w:pPr>
        <w:pStyle w:val="ListParagraph"/>
        <w:numPr>
          <w:ilvl w:val="0"/>
          <w:numId w:val="5"/>
        </w:numPr>
        <w:spacing w:after="60"/>
      </w:pPr>
      <w:r>
        <w:rPr>
          <w:rFonts w:ascii="Arial" w:cs="Arial" w:eastAsia="Arial" w:hAnsi="Arial"/>
          <w:sz w:val="22"/>
          <w:szCs w:val="22"/>
        </w:rPr>
        <w:t xml:space="preserve">Alternatives Disclosure: The Rule 2214(c)(4) disclosure (“other investments not considered may have similar or superior characteristics”) must appear directly adjacent to the comparison table, not only in a footer.</w:t>
      </w:r>
    </w:p>
    <w:p>
      <w:pPr>
        <w:pStyle w:val="ListParagraph"/>
        <w:numPr>
          <w:ilvl w:val="0"/>
          <w:numId w:val="5"/>
        </w:numPr>
        <w:spacing w:after="60"/>
      </w:pPr>
      <w:r>
        <w:rPr>
          <w:rFonts w:ascii="Arial" w:cs="Arial" w:eastAsia="Arial" w:hAnsi="Arial"/>
          <w:sz w:val="22"/>
          <w:szCs w:val="22"/>
        </w:rPr>
        <w:t xml:space="preserve">No Rankings or Scores: The comparison should present factual projections without assigning “scores” or “rankings” to strategies, as this could constitute an implicit recommendation.</w:t>
      </w:r>
    </w:p>
    <w:p>
      <w:r>
        <w:rPr>
          <w:rFonts w:ascii="Arial" w:cs="Arial" w:eastAsia="Arial" w:hAnsi="Arial"/>
        </w:rPr>
        <w:t xml:space="preserve"/>
      </w:r>
      <w:r>
        <w:br w:type="page"/>
      </w:r>
    </w:p>
    <w:p>
      <w:pPr>
        <w:pStyle w:val="Heading1"/>
      </w:pPr>
      <w:r>
        <w:t xml:space="preserve">Section 5: ESI-Specific Requirements</w:t>
      </w:r>
    </w:p>
    <w:p>
      <w:pPr>
        <w:pStyle w:val="Heading2"/>
      </w:pPr>
      <w:r>
        <w:t xml:space="preserve">5.1  Supervisory Review Checklist</w:t>
      </w:r>
    </w:p>
    <w:p>
      <w:pPr>
        <w:spacing w:after="120"/>
      </w:pPr>
      <w:r>
        <w:rPr>
          <w:rFonts w:ascii="Arial" w:cs="Arial" w:eastAsia="Arial" w:hAnsi="Arial"/>
          <w:sz w:val="22"/>
          <w:szCs w:val="22"/>
        </w:rPr>
        <w:t xml:space="preserve">The following checklist is provided for the ESI registered principal conducting pre-use review. Each item must be verified before approval.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360"/>
        <w:gridCol w:w="1200"/>
        <w:gridCol w:w="130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Review Item</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Status</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Initials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 outputs identified as hypothetical/estimated projections — no guarantees anywhere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Rule 2214(c)(1)–(4) disclosures complete, clear, prominent, and in narrative form</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Verbatim Rule 2214(d) prescribed disclosure displayed on every output screen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Marketing Rule 206(4)-1(e)(8)(A)–(E) conditions satisfied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ESI/NLG firm name, FINRA/SIPC membership, and contact info in every page footer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Methodology section complete, accessible from every screen, and accurate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Default assumptions sourced and documented; user override warnings functional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Strategy comparisons balanced; no unfair favoring of NLG products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NLG product-favoritism disclosure per Rule 2214(c)(3) implemented where applicable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PDF/print exports carry full disclosure language including verbatim 2214(d) text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Data input forms do not collect or store Social Security numbers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If storing client data (Stewardly): Reg S-P privacy notice, safeguards program documented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Insurance illustration outputs comply with NAIC Model 582 requirements or include formal-illustration redirect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14</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Tool does not itself constitute a recommendation; no language crossing the recommendation boundary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15</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testimonials, endorsements, or third-party ratings embedded in tool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16</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Historical data sourced from recognized databases with dates displayed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17</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Standalone HTML and Stewardly versions produce identical outputs and disclosures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18</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Record-retention procedures documented for all calculator versions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19</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Representative training materials prepared for proper tool usage and Reg BI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GenAI chat features (if enabled in Stewardly): supervised per FINRA 2026 Regulatory Oversight Report guidance on chatbot communications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21</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Form CRS reminder included in client-facing outputs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22</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implication that FINRA endorses or approves the tool (Rule 2214 Supp. Material .01)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w:t>
            </w:r>
          </w:p>
        </w:tc>
      </w:tr>
    </w:tbl>
    <w:p>
      <w:pPr>
        <w:pStyle w:val="Heading2"/>
      </w:pPr>
      <w:r>
        <w:t xml:space="preserve">5.2  Hosted vs. Static Version Requirements</w:t>
      </w:r>
    </w:p>
    <w:p>
      <w:pPr>
        <w:pStyle w:val="Heading3"/>
      </w:pPr>
      <w:r>
        <w:t xml:space="preserve">5.2.1  Standalone HTML (Static)</w:t>
      </w:r>
    </w:p>
    <w:p>
      <w:pPr>
        <w:pStyle w:val="ListParagraph"/>
        <w:numPr>
          <w:ilvl w:val="0"/>
          <w:numId w:val="2"/>
        </w:numPr>
        <w:spacing w:after="60"/>
      </w:pPr>
      <w:r>
        <w:rPr>
          <w:rFonts w:ascii="Arial" w:cs="Arial" w:eastAsia="Arial" w:hAnsi="Arial"/>
          <w:sz w:val="22"/>
          <w:szCs w:val="22"/>
        </w:rPr>
        <w:t xml:space="preserve">All computation occurs client-side in the browser; no data transmitted to any server</w:t>
      </w:r>
    </w:p>
    <w:p>
      <w:pPr>
        <w:pStyle w:val="ListParagraph"/>
        <w:numPr>
          <w:ilvl w:val="0"/>
          <w:numId w:val="2"/>
        </w:numPr>
        <w:spacing w:after="60"/>
      </w:pPr>
      <w:r>
        <w:rPr>
          <w:rFonts w:ascii="Arial" w:cs="Arial" w:eastAsia="Arial" w:hAnsi="Arial"/>
          <w:sz w:val="22"/>
          <w:szCs w:val="22"/>
        </w:rPr>
        <w:t xml:space="preserve">No user data persisted after browser session ends unless user explicitly exports/saves</w:t>
      </w:r>
    </w:p>
    <w:p>
      <w:pPr>
        <w:pStyle w:val="ListParagraph"/>
        <w:numPr>
          <w:ilvl w:val="0"/>
          <w:numId w:val="2"/>
        </w:numPr>
        <w:spacing w:after="60"/>
      </w:pPr>
      <w:r>
        <w:rPr>
          <w:rFonts w:ascii="Arial" w:cs="Arial" w:eastAsia="Arial" w:hAnsi="Arial"/>
          <w:sz w:val="22"/>
          <w:szCs w:val="22"/>
        </w:rPr>
        <w:t xml:space="preserve">Disclosure language embedded in HTML source; cannot be separated from the tool</w:t>
      </w:r>
    </w:p>
    <w:p>
      <w:pPr>
        <w:pStyle w:val="ListParagraph"/>
        <w:numPr>
          <w:ilvl w:val="0"/>
          <w:numId w:val="2"/>
        </w:numPr>
        <w:spacing w:after="60"/>
      </w:pPr>
      <w:r>
        <w:rPr>
          <w:rFonts w:ascii="Arial" w:cs="Arial" w:eastAsia="Arial" w:hAnsi="Arial"/>
          <w:sz w:val="22"/>
          <w:szCs w:val="22"/>
        </w:rPr>
        <w:t xml:space="preserve">Version-controlled file hash documented for record-retention (SHA-256)</w:t>
      </w:r>
    </w:p>
    <w:p>
      <w:pPr>
        <w:pStyle w:val="ListParagraph"/>
        <w:numPr>
          <w:ilvl w:val="0"/>
          <w:numId w:val="2"/>
        </w:numPr>
        <w:spacing w:after="60"/>
      </w:pPr>
      <w:r>
        <w:rPr>
          <w:rFonts w:ascii="Arial" w:cs="Arial" w:eastAsia="Arial" w:hAnsi="Arial"/>
          <w:sz w:val="22"/>
          <w:szCs w:val="22"/>
        </w:rPr>
        <w:t xml:space="preserve">Representatives must distribute only the ESI-approved version; integrity verified via hash</w:t>
      </w:r>
    </w:p>
    <w:p>
      <w:pPr>
        <w:pStyle w:val="ListParagraph"/>
        <w:numPr>
          <w:ilvl w:val="0"/>
          <w:numId w:val="2"/>
        </w:numPr>
        <w:spacing w:after="60"/>
      </w:pPr>
      <w:r>
        <w:rPr>
          <w:rFonts w:ascii="Arial" w:cs="Arial" w:eastAsia="Arial" w:hAnsi="Arial"/>
          <w:sz w:val="22"/>
          <w:szCs w:val="22"/>
        </w:rPr>
        <w:t xml:space="preserve">Updates require re-submission through ESI compliance review before distribution</w:t>
      </w:r>
    </w:p>
    <w:p>
      <w:pPr>
        <w:pStyle w:val="ListParagraph"/>
        <w:numPr>
          <w:ilvl w:val="0"/>
          <w:numId w:val="2"/>
        </w:numPr>
        <w:spacing w:after="60"/>
      </w:pPr>
      <w:r>
        <w:rPr>
          <w:rFonts w:ascii="Arial" w:cs="Arial" w:eastAsia="Arial" w:hAnsi="Arial"/>
          <w:sz w:val="22"/>
          <w:szCs w:val="22"/>
        </w:rPr>
        <w:t xml:space="preserve">Reg S-P and S-ID data privacy requirements do not apply (no data storage)</w:t>
      </w:r>
    </w:p>
    <w:p>
      <w:pPr>
        <w:pStyle w:val="Heading3"/>
      </w:pPr>
      <w:r>
        <w:t xml:space="preserve">5.2.2  Stewardly-Hosted Version</w:t>
      </w:r>
    </w:p>
    <w:p>
      <w:pPr>
        <w:pStyle w:val="ListParagraph"/>
        <w:numPr>
          <w:ilvl w:val="0"/>
          <w:numId w:val="2"/>
        </w:numPr>
        <w:spacing w:after="60"/>
      </w:pPr>
      <w:r>
        <w:rPr>
          <w:rFonts w:ascii="Arial" w:cs="Arial" w:eastAsia="Arial" w:hAnsi="Arial"/>
          <w:sz w:val="22"/>
          <w:szCs w:val="22"/>
        </w:rPr>
        <w:t xml:space="preserve">Computation occurs on Stewardly servers; outputs rendered in browser</w:t>
      </w:r>
    </w:p>
    <w:p>
      <w:pPr>
        <w:pStyle w:val="ListParagraph"/>
        <w:numPr>
          <w:ilvl w:val="0"/>
          <w:numId w:val="2"/>
        </w:numPr>
        <w:spacing w:after="60"/>
      </w:pPr>
      <w:r>
        <w:rPr>
          <w:rFonts w:ascii="Arial" w:cs="Arial" w:eastAsia="Arial" w:hAnsi="Arial"/>
          <w:sz w:val="22"/>
          <w:szCs w:val="22"/>
        </w:rPr>
        <w:t xml:space="preserve">User data may be stored in Stewardly’s database (subject to Section 5.3 data privacy)</w:t>
      </w:r>
    </w:p>
    <w:p>
      <w:pPr>
        <w:pStyle w:val="ListParagraph"/>
        <w:numPr>
          <w:ilvl w:val="0"/>
          <w:numId w:val="2"/>
        </w:numPr>
        <w:spacing w:after="60"/>
      </w:pPr>
      <w:r>
        <w:rPr>
          <w:rFonts w:ascii="Arial" w:cs="Arial" w:eastAsia="Arial" w:hAnsi="Arial"/>
          <w:sz w:val="22"/>
          <w:szCs w:val="22"/>
        </w:rPr>
        <w:t xml:space="preserve">Disclosure language served dynamically but identical to static version</w:t>
      </w:r>
    </w:p>
    <w:p>
      <w:pPr>
        <w:pStyle w:val="ListParagraph"/>
        <w:numPr>
          <w:ilvl w:val="0"/>
          <w:numId w:val="2"/>
        </w:numPr>
        <w:spacing w:after="60"/>
      </w:pPr>
      <w:r>
        <w:rPr>
          <w:rFonts w:ascii="Arial" w:cs="Arial" w:eastAsia="Arial" w:hAnsi="Arial"/>
          <w:sz w:val="22"/>
          <w:szCs w:val="22"/>
        </w:rPr>
        <w:t xml:space="preserve">Stewardly deployment changes coordinated with ESI compliance for material changes</w:t>
      </w:r>
    </w:p>
    <w:p>
      <w:pPr>
        <w:pStyle w:val="ListParagraph"/>
        <w:numPr>
          <w:ilvl w:val="0"/>
          <w:numId w:val="2"/>
        </w:numPr>
        <w:spacing w:after="60"/>
      </w:pPr>
      <w:r>
        <w:rPr>
          <w:rFonts w:ascii="Arial" w:cs="Arial" w:eastAsia="Arial" w:hAnsi="Arial"/>
          <w:sz w:val="22"/>
          <w:szCs w:val="22"/>
        </w:rPr>
        <w:t xml:space="preserve">Access controlled via Stewardly authentication; usage logged for supervisory review</w:t>
      </w:r>
    </w:p>
    <w:p>
      <w:pPr>
        <w:pStyle w:val="ListParagraph"/>
        <w:numPr>
          <w:ilvl w:val="0"/>
          <w:numId w:val="2"/>
        </w:numPr>
        <w:spacing w:after="60"/>
      </w:pPr>
      <w:r>
        <w:rPr>
          <w:rFonts w:ascii="Arial" w:cs="Arial" w:eastAsia="Arial" w:hAnsi="Arial"/>
          <w:sz w:val="22"/>
          <w:szCs w:val="22"/>
        </w:rPr>
        <w:t xml:space="preserve">API integration with NLG systems must comply with NLG data-sharing agreements</w:t>
      </w:r>
    </w:p>
    <w:p>
      <w:pPr>
        <w:pStyle w:val="ListParagraph"/>
        <w:numPr>
          <w:ilvl w:val="0"/>
          <w:numId w:val="2"/>
        </w:numPr>
        <w:spacing w:after="60"/>
      </w:pPr>
      <w:r>
        <w:rPr>
          <w:rFonts w:ascii="Arial" w:cs="Arial" w:eastAsia="Arial" w:hAnsi="Arial"/>
          <w:sz w:val="22"/>
          <w:szCs w:val="22"/>
        </w:rPr>
        <w:t xml:space="preserve">If GenAI/AI chat features are enabled, chatbot communications must be supervised and retained per FINRA 2026 guidance and applicable securities laws</w:t>
      </w:r>
    </w:p>
    <w:p>
      <w:pPr>
        <w:pStyle w:val="Heading2"/>
      </w:pPr>
      <w:r>
        <w:t xml:space="preserve">5.3  Data Privacy Requirements (Stewardly-Hosted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Implementation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Regulation S-P (Privacy of Consumer Financial Info)</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Initial and annual privacy notices; opt-out rights for nonaffiliate sharing</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Regulation S-ID (Red Flags Rule)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Identity theft prevention program for stored client data</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 S-P Safeguards Rule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Written information security program; encryption at rest and in transit for PII</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State data privacy laws (CCPA, NYDFS, etc.)</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Compliance with applicable state laws for stored financial information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No SSN collection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Calculators do not collect, store, or transmit Social Security numbers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Data retention and deletion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Clear schedule; client ability to request deletion of stored inputs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Third-party data sharing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 client data shared without consent; Stewardly data processing agreement required</w:t>
            </w:r>
          </w:p>
        </w:tc>
      </w:tr>
    </w:tbl>
    <w:p>
      <w:pPr>
        <w:pStyle w:val="Heading2"/>
      </w:pPr>
      <w:r>
        <w:t xml:space="preserve">5.4  Record-Keeping Requirements</w:t>
      </w:r>
    </w:p>
    <w:p>
      <w:pPr>
        <w:pStyle w:val="Heading3"/>
      </w:pPr>
      <w:r>
        <w:t xml:space="preserve">5.4.1  General Retention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Record Type</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Retention Period</w:t>
            </w:r>
          </w:p>
        </w:tc>
        <w:tc>
          <w:tcPr>
            <w:tcW w:type="dxa" w:w="3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Authority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Retail communications (calculator templates, disclosures)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years from last use (first 2 years accessible)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Rule 17a-4(b)(4); FINRA 2210(b)(4)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Calculator source code / version history (SHA-256 hash per version)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years from last use; each materially different version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Rule 17a-4(b); ESI supervisory procedures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Written reports generated by calculators (PDF exports)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years from creation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Rule 17a-4(b)(4); FINRA Rule 2214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Client input data (Stewardly-hosted)</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 ESI/EFA policy (min. 6 years after account closure)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Rule 17a-4(a); Rule 204-2(e)(1)</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Supervisory review and approval records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years (first 2 years accessible)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Rule 3110(b)(4)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FINRA access correspondence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3 years from date of correspondence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SEC Rule 17a-4(b)(4)</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Reg BI documentation for calculator-assisted recommendations</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Per Reg BI recordkeeping (Rule 17a-3(a)(35))</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17 CFR § 240.17a-3(a)(35)</w:t>
            </w:r>
          </w:p>
        </w:tc>
      </w:tr>
    </w:tbl>
    <w:p>
      <w:pPr>
        <w:pStyle w:val="Heading3"/>
      </w:pPr>
      <w:r>
        <w:t xml:space="preserve">5.4.2  Stewardly-Specific Books and Records</w:t>
      </w:r>
    </w:p>
    <w:p>
      <w:pPr>
        <w:spacing w:after="120"/>
      </w:pPr>
      <w:r>
        <w:rPr>
          <w:rFonts w:ascii="Arial" w:cs="Arial" w:eastAsia="Arial" w:hAnsi="Arial"/>
          <w:sz w:val="22"/>
          <w:szCs w:val="22"/>
        </w:rPr>
        <w:t xml:space="preserve">When the Stewardly-hosted version stores client financial projections, additional books-and-records obligations may arise:</w:t>
      </w:r>
    </w:p>
    <w:p>
      <w:pPr>
        <w:spacing w:after="50"/>
      </w:pPr>
    </w:p>
    <w:p>
      <w:pPr>
        <w:pStyle w:val="ListParagraph"/>
        <w:numPr>
          <w:ilvl w:val="0"/>
          <w:numId w:val="2"/>
        </w:numPr>
        <w:spacing w:after="60"/>
      </w:pPr>
      <w:r>
        <w:rPr>
          <w:rFonts w:ascii="Arial" w:cs="Arial" w:eastAsia="Arial" w:hAnsi="Arial"/>
          <w:sz w:val="22"/>
          <w:szCs w:val="22"/>
        </w:rPr>
        <w:t xml:space="preserve">If a representative saves a client’s calculator session as part of the basis for a recommendation, that saved session may constitute a “record” under SEC Rule 17a-4 and must be retained for the applicable period</w:t>
      </w:r>
    </w:p>
    <w:p>
      <w:pPr>
        <w:pStyle w:val="ListParagraph"/>
        <w:numPr>
          <w:ilvl w:val="0"/>
          <w:numId w:val="2"/>
        </w:numPr>
        <w:spacing w:after="60"/>
      </w:pPr>
      <w:r>
        <w:rPr>
          <w:rFonts w:ascii="Arial" w:cs="Arial" w:eastAsia="Arial" w:hAnsi="Arial"/>
          <w:sz w:val="22"/>
          <w:szCs w:val="22"/>
        </w:rPr>
        <w:t xml:space="preserve">Stewardly’s database backup and audit trail capabilities must be documented to demonstrate compliance with WORM (Write Once, Read Many) or equivalent requirements under Rule 17a-4(f)</w:t>
      </w:r>
    </w:p>
    <w:p>
      <w:pPr>
        <w:pStyle w:val="ListParagraph"/>
        <w:numPr>
          <w:ilvl w:val="0"/>
          <w:numId w:val="2"/>
        </w:numPr>
        <w:spacing w:after="60"/>
      </w:pPr>
      <w:r>
        <w:rPr>
          <w:rFonts w:ascii="Arial" w:cs="Arial" w:eastAsia="Arial" w:hAnsi="Arial"/>
          <w:sz w:val="22"/>
          <w:szCs w:val="22"/>
        </w:rPr>
        <w:t xml:space="preserve">If calculator outputs are integrated into client account records or financial plans, the outputs become part of the account record and are subject to the account-record retention period (6 years after account closure)</w:t>
      </w:r>
    </w:p>
    <w:p>
      <w:pPr>
        <w:pStyle w:val="ListParagraph"/>
        <w:numPr>
          <w:ilvl w:val="0"/>
          <w:numId w:val="2"/>
        </w:numPr>
        <w:spacing w:after="60"/>
      </w:pPr>
      <w:r>
        <w:rPr>
          <w:rFonts w:ascii="Arial" w:cs="Arial" w:eastAsia="Arial" w:hAnsi="Arial"/>
          <w:sz w:val="22"/>
          <w:szCs w:val="22"/>
        </w:rPr>
        <w:t xml:space="preserve">ESI should require that Stewardly provide a written undertaking regarding data retention, accessibility, and production of records upon regulatory request, consistent with SEC Rule 17a-4(i) third-party recordkeeping requirements</w:t>
      </w:r>
    </w:p>
    <w:p>
      <w:pPr>
        <w:pStyle w:val="ListParagraph"/>
        <w:numPr>
          <w:ilvl w:val="0"/>
          <w:numId w:val="2"/>
        </w:numPr>
        <w:spacing w:after="60"/>
      </w:pPr>
      <w:r>
        <w:rPr>
          <w:rFonts w:ascii="Arial" w:cs="Arial" w:eastAsia="Arial" w:hAnsi="Arial"/>
          <w:sz w:val="22"/>
          <w:szCs w:val="22"/>
        </w:rPr>
        <w:t xml:space="preserve">Automatic session logging in Stewardly (inputs, outputs, timestamps, user ID) provides a supervisory audit trail that satisfies FINRA Rule 3110 review requirements</w:t>
      </w:r>
    </w:p>
    <w:p>
      <w:r>
        <w:rPr>
          <w:rFonts w:ascii="Arial" w:cs="Arial" w:eastAsia="Arial" w:hAnsi="Arial"/>
        </w:rPr>
        <w:t xml:space="preserve"/>
      </w:r>
      <w:r>
        <w:br w:type="page"/>
      </w:r>
    </w:p>
    <w:p>
      <w:r>
        <w:rPr>
          <w:rFonts w:ascii="Arial" w:cs="Arial" w:eastAsia="Arial" w:hAnsi="Arial"/>
        </w:rPr>
        <w:t xml:space="preserve"/>
      </w:r>
      <w:r>
        <w:br w:type="page"/>
      </w:r>
    </w:p>
    <w:p>
      <w:pPr>
        <w:pStyle w:val="Heading1"/>
      </w:pPr>
      <w:r>
        <w:t xml:space="preserve">Section 6: NAIC Model Regulation 582 — Life Insurance Illustrations</w:t>
      </w:r>
    </w:p>
    <w:p>
      <w:pPr>
        <w:pStyle w:val="Heading2"/>
      </w:pPr>
      <w:r>
        <w:t xml:space="preserve">6.1  Applicability Analysis</w:t>
      </w:r>
    </w:p>
    <w:p>
      <w:pPr>
        <w:spacing w:after="120"/>
      </w:pPr>
      <w:r>
        <w:rPr>
          <w:rFonts w:ascii="Arial" w:cs="Arial" w:eastAsia="Arial" w:hAnsi="Arial"/>
          <w:sz w:val="22"/>
          <w:szCs w:val="22"/>
        </w:rPr>
        <w:t xml:space="preserve">NAIC Model Regulation 582 applies to all group and individual life insurance policies and certificates with illustrated death benefits exceeding $10,000. It explicitly excludes: (a) variable life insurance, (b) individual and group annuity contracts, (c) credit life insurance, and (d) policies with illustrated death benefits ≤$10,000 per individual.</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Calculator Feature</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Model 582 Applicability</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Generic insurance needs analysis (Client Calculator)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 subject to Model 582. Generic need projections do not illustrate non-guaranteed elements (NGEs) of a specific policy form.</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Quick Quote generic premium estimates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 subject if outputs are premium ranges without NGEs. BECOMES subject if referencing specific NLG policy forms with NGEs.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Strategy comparison showing IUL cash value accumulation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SUBJECT TO Model 582 when depicting NGEs of a specific life policy form with death benefits &gt;$10,000. Illustrated scale must not exceed the lesser of currently payable or disciplined current scale.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Premium financing modeling</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SUBJECT TO Model 582 to the extent underlying policy values are illustrated with NGEs. The financing overlay itself is not a life insurance illustration.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Annuity accumulation projections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 SUBJECT to Model 582 (annuities explicitly excluded). However, annuity illustrations are subject to NAIC Annuity Disclosure Model Regulation (#245) and state suitability requirements.</w:t>
            </w:r>
          </w:p>
        </w:tc>
      </w:tr>
    </w:tbl>
    <w:p>
      <w:pPr>
        <w:pStyle w:val="Heading2"/>
      </w:pPr>
      <w:r>
        <w:t xml:space="preserve">6.2  Compliance When Model 582 Applies</w:t>
      </w:r>
    </w:p>
    <w:p>
      <w:pPr>
        <w:spacing w:after="120"/>
      </w:pPr>
      <w:r>
        <w:rPr>
          <w:rFonts w:ascii="Arial" w:cs="Arial" w:eastAsia="Arial" w:hAnsi="Arial"/>
          <w:sz w:val="22"/>
          <w:szCs w:val="22"/>
        </w:rPr>
        <w:t xml:space="preserve">Where calculator outputs constitute “illustrations” under Model 582:</w:t>
      </w:r>
    </w:p>
    <w:p>
      <w:pPr>
        <w:spacing w:after="50"/>
      </w:pPr>
    </w:p>
    <w:p>
      <w:pPr>
        <w:pStyle w:val="ListParagraph"/>
        <w:numPr>
          <w:ilvl w:val="0"/>
          <w:numId w:val="6"/>
        </w:numPr>
        <w:spacing w:after="60"/>
      </w:pPr>
      <w:r>
        <w:rPr>
          <w:rFonts w:ascii="Arial" w:cs="Arial" w:eastAsia="Arial" w:hAnsi="Arial"/>
          <w:sz w:val="22"/>
          <w:szCs w:val="22"/>
        </w:rPr>
        <w:t xml:space="preserve">Illustrated Scale Limitation: NGEs must not be more favorable than the lesser of the currently payable scale or the disciplined current scale certified by the insurer’s illustration actuary (Section 6)</w:t>
      </w:r>
    </w:p>
    <w:p>
      <w:pPr>
        <w:pStyle w:val="ListParagraph"/>
        <w:numPr>
          <w:ilvl w:val="0"/>
          <w:numId w:val="6"/>
        </w:numPr>
        <w:spacing w:after="60"/>
      </w:pPr>
      <w:r>
        <w:rPr>
          <w:rFonts w:ascii="Arial" w:cs="Arial" w:eastAsia="Arial" w:hAnsi="Arial"/>
          <w:sz w:val="22"/>
          <w:szCs w:val="22"/>
        </w:rPr>
        <w:t xml:space="preserve">Basic Illustration Format: Must show both guaranteed and non-guaranteed elements (Section 7)</w:t>
      </w:r>
    </w:p>
    <w:p>
      <w:pPr>
        <w:pStyle w:val="ListParagraph"/>
        <w:numPr>
          <w:ilvl w:val="0"/>
          <w:numId w:val="6"/>
        </w:numPr>
        <w:spacing w:after="60"/>
      </w:pPr>
      <w:r>
        <w:rPr>
          <w:rFonts w:ascii="Arial" w:cs="Arial" w:eastAsia="Arial" w:hAnsi="Arial"/>
          <w:sz w:val="22"/>
          <w:szCs w:val="22"/>
        </w:rPr>
        <w:t xml:space="preserve">Narrative Summary: Brief description of policy, guaranteed/non-guaranteed elements, and “actual results may be more or less favorable” statement (Section 7(B))</w:t>
      </w:r>
    </w:p>
    <w:p>
      <w:pPr>
        <w:pStyle w:val="ListParagraph"/>
        <w:numPr>
          <w:ilvl w:val="0"/>
          <w:numId w:val="6"/>
        </w:numPr>
        <w:spacing w:after="60"/>
      </w:pPr>
      <w:r>
        <w:rPr>
          <w:rFonts w:ascii="Arial" w:cs="Arial" w:eastAsia="Arial" w:hAnsi="Arial"/>
          <w:sz w:val="22"/>
          <w:szCs w:val="22"/>
        </w:rPr>
        <w:t xml:space="preserve">Numeric Summary: Policy year, premium outlay, death benefit, cash surrender value at guaranteed and illustrated scales (Section 7(C))</w:t>
      </w:r>
    </w:p>
    <w:p>
      <w:pPr>
        <w:pStyle w:val="ListParagraph"/>
        <w:numPr>
          <w:ilvl w:val="0"/>
          <w:numId w:val="6"/>
        </w:numPr>
        <w:spacing w:after="60"/>
      </w:pPr>
      <w:r>
        <w:rPr>
          <w:rFonts w:ascii="Arial" w:cs="Arial" w:eastAsia="Arial" w:hAnsi="Arial"/>
          <w:sz w:val="22"/>
          <w:szCs w:val="22"/>
        </w:rPr>
        <w:t xml:space="preserve">Signature Requirement: If policy applied for as illustrated, illustration must be signed by rep and applicant and submitted to insurer (Section 9)</w:t>
      </w:r>
    </w:p>
    <w:p>
      <w:pPr>
        <w:pStyle w:val="ListParagraph"/>
        <w:numPr>
          <w:ilvl w:val="0"/>
          <w:numId w:val="6"/>
        </w:numPr>
        <w:spacing w:after="60"/>
      </w:pPr>
      <w:r>
        <w:rPr>
          <w:rFonts w:ascii="Arial" w:cs="Arial" w:eastAsia="Arial" w:hAnsi="Arial"/>
          <w:sz w:val="22"/>
          <w:szCs w:val="22"/>
        </w:rPr>
        <w:t xml:space="preserve">No Misleading Use: No representing policy as anything other than life insurance; no implying NGEs are guaranteed; no “vanishing premium” language (Section 10)</w:t>
      </w:r>
    </w:p>
    <w:p>
      <w:pPr>
        <w:pStyle w:val="Heading2"/>
      </w:pPr>
      <w:r>
        <w:t xml:space="preserve">6.3  Actuarial Guideline 49-A (Indexed Products)</w:t>
      </w:r>
    </w:p>
    <w:p>
      <w:pPr>
        <w:spacing w:after="120"/>
      </w:pPr>
      <w:r>
        <w:rPr>
          <w:rFonts w:ascii="Arial" w:cs="Arial" w:eastAsia="Arial" w:hAnsi="Arial"/>
          <w:sz w:val="22"/>
          <w:szCs w:val="22"/>
        </w:rPr>
        <w:t xml:space="preserve">For any feature illustrating indexed universal life (IUL) products, AG 49-A imposes additional constraints. Revisions effective in 2026 enhance consumer-protection disclosures:</w:t>
      </w:r>
    </w:p>
    <w:p>
      <w:pPr>
        <w:spacing w:after="50"/>
      </w:pPr>
    </w:p>
    <w:p>
      <w:pPr>
        <w:pStyle w:val="ListParagraph"/>
        <w:numPr>
          <w:ilvl w:val="0"/>
          <w:numId w:val="2"/>
        </w:numPr>
        <w:spacing w:after="60"/>
      </w:pPr>
      <w:r>
        <w:rPr>
          <w:rFonts w:ascii="Arial" w:cs="Arial" w:eastAsia="Arial" w:hAnsi="Arial"/>
          <w:sz w:val="22"/>
          <w:szCs w:val="22"/>
        </w:rPr>
        <w:t xml:space="preserve">Illustrated credited rate for indexed accounts must not exceed AG 49-A limits based on geometric average of actual historical index changes and current option budget</w:t>
      </w:r>
    </w:p>
    <w:p>
      <w:pPr>
        <w:pStyle w:val="ListParagraph"/>
        <w:numPr>
          <w:ilvl w:val="0"/>
          <w:numId w:val="2"/>
        </w:numPr>
        <w:spacing w:after="60"/>
      </w:pPr>
      <w:r>
        <w:rPr>
          <w:rFonts w:ascii="Arial" w:cs="Arial" w:eastAsia="Arial" w:hAnsi="Arial"/>
          <w:sz w:val="22"/>
          <w:szCs w:val="22"/>
        </w:rPr>
        <w:t xml:space="preserve">Alternate Scale ledger must be shown alongside the illustrated scale</w:t>
      </w:r>
    </w:p>
    <w:p>
      <w:pPr>
        <w:pStyle w:val="ListParagraph"/>
        <w:numPr>
          <w:ilvl w:val="0"/>
          <w:numId w:val="2"/>
        </w:numPr>
        <w:spacing w:after="60"/>
      </w:pPr>
      <w:r>
        <w:rPr>
          <w:rFonts w:ascii="Arial" w:cs="Arial" w:eastAsia="Arial" w:hAnsi="Arial"/>
          <w:sz w:val="22"/>
          <w:szCs w:val="22"/>
        </w:rPr>
        <w:t xml:space="preserve">Table of minimum/maximum geometric average annual credited rates required</w:t>
      </w:r>
    </w:p>
    <w:p>
      <w:pPr>
        <w:pStyle w:val="ListParagraph"/>
        <w:numPr>
          <w:ilvl w:val="0"/>
          <w:numId w:val="2"/>
        </w:numPr>
        <w:spacing w:after="60"/>
      </w:pPr>
      <w:r>
        <w:rPr>
          <w:rFonts w:ascii="Arial" w:cs="Arial" w:eastAsia="Arial" w:hAnsi="Arial"/>
          <w:sz w:val="22"/>
          <w:szCs w:val="22"/>
        </w:rPr>
        <w:t xml:space="preserve">2026 enhanced disclosures: additional consumer-protection disclosure language as adopted by NAIC</w:t>
      </w:r>
    </w:p>
    <w:p>
      <w:pPr>
        <w:spacing w:after="50"/>
      </w:pPr>
    </w:p>
    <w:p>
      <w:pPr>
        <w:spacing w:after="120"/>
      </w:pPr>
      <w:r>
        <w:rPr>
          <w:rFonts w:ascii="Arial" w:cs="Arial" w:eastAsia="Arial" w:hAnsi="Arial"/>
          <w:b/>
          <w:bCs/>
          <w:sz w:val="22"/>
          <w:szCs w:val="22"/>
        </w:rPr>
        <w:t xml:space="preserve">Recommended Approach:</w:t>
      </w:r>
    </w:p>
    <w:p>
      <w:pPr>
        <w:spacing w:after="120"/>
      </w:pPr>
      <w:r>
        <w:rPr>
          <w:rFonts w:ascii="Arial" w:cs="Arial" w:eastAsia="Arial" w:hAnsi="Arial"/>
          <w:sz w:val="22"/>
          <w:szCs w:val="22"/>
        </w:rPr>
        <w:t xml:space="preserve">Where WealthBridge calculators reference specific NLG indexed life products, the tool should either (a) pull illustration data from NLG’s approved illustration software (ensuring AG 49-A compliance at the carrier level), or (b) include this prominent disclaimer: “This calculator provides general educational projections only. A formal illustration produced by National Life Group’s approved illustration system is required before any policy application and will show both guaranteed and non-guaranteed values in compliance with applicable regulations.”</w:t>
      </w:r>
    </w:p>
    <w:p>
      <w:r>
        <w:rPr>
          <w:rFonts w:ascii="Arial" w:cs="Arial" w:eastAsia="Arial" w:hAnsi="Arial"/>
        </w:rPr>
        <w:t xml:space="preserve"/>
      </w:r>
      <w:r>
        <w:br w:type="page"/>
      </w:r>
    </w:p>
    <w:p>
      <w:pPr>
        <w:pStyle w:val="Heading1"/>
      </w:pPr>
      <w:r>
        <w:t xml:space="preserve">Section 7: Comprehensive Disclosure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2200"/>
        <w:gridCol w:w="2160"/>
        <w:gridCol w:w="2000"/>
      </w:tblGrid>
      <w:tr>
        <w:tc>
          <w:tcPr>
            <w:tcW w:type="dxa" w:w="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ID</w:t>
            </w:r>
          </w:p>
        </w:tc>
        <w:tc>
          <w:tcPr>
            <w:tcW w:type="dxa" w:w="2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Disclosure (Summary)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Regulatory Basis</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Location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Versions</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Verbatim Rule 2214(d) prescribed disclosure: hypothetical nature, not actual results, not guarantees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Every output header; every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Results may vary with each use and over time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2214(c)(2); SEC (e)(8)(B)</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Output header; PDF cover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Methodology and assumptions description (criteria, limitations, key assumptions)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2214(c)(1); SEC (e)(8)(A)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Methodology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Tool selection methodology; does not select specific securities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2214(c)(3); SEC (e)(8)(C)</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Disclosure footer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Other investments may have similar/superior characteristics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2214(c)(4); SEC (e)(8)(E)</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Output footer; PDF cover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D-6</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NLG product favoritism disclosure (when applicable)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2214(c)(3); SEC (e)(8)(D)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Strategy comparison section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D-7</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ESI/NLG firm name, FINRA/SIPC membership, address, phone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2210(d)(3)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Page footer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D-8</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Not a replacement for professional financial advice; consult your advisor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2210(d)(1)(A); Reg BI</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Output header; PDF</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D-9</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Insurance illustrations are not guarantees; NGEs may vary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NAIC Model 582 §7</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Insurance output sections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 QQ</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Formal carrier illustration required before policy application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NAIC Model 582 §9; AG 49-A</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Insurance strategy sections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 QQ</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D-11</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Past performance does not guarantee future results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2210(d)(1)(F); SEC anti-fraud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Historical data sections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D-12</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Monte Carlo describes probability, not certainty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2214(c)(1)–(2)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MC output panel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D-13</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Tax projections are estimates; consult tax professional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FINRA 2210(d)(1)(A); Circular 230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Tax analysis sections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 Biz</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D-14</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Privacy notice for stored 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Reg S-P; state law</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Account settings / first use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Stewardly</w:t>
            </w:r>
          </w:p>
        </w:tc>
      </w:tr>
      <w:tr>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D-15</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Form CRS reminder for recommendation context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Reg BI; Form CRS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Client-facing exports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All</w:t>
            </w:r>
          </w:p>
        </w:tc>
      </w:tr>
    </w:tbl>
    <w:p>
      <w:pPr>
        <w:pStyle w:val="Heading1"/>
      </w:pPr>
      <w:r>
        <w:t xml:space="preserve">Section 7A: Risk Factors and Edge Cases</w:t>
      </w:r>
    </w:p>
    <w:p>
      <w:pPr>
        <w:spacing w:after="120"/>
      </w:pPr>
      <w:r>
        <w:rPr>
          <w:rFonts w:ascii="Arial" w:cs="Arial" w:eastAsia="Arial" w:hAnsi="Arial"/>
          <w:sz w:val="22"/>
          <w:szCs w:val="22"/>
        </w:rPr>
        <w:t xml:space="preserve">The following risk factors and edge cases were identified during adversarial review. Each should be addressed in ESI’s supervisory procedures or resolved before deployment.</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80"/>
        <w:gridCol w:w="448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Risk / Edge Case</w:t>
            </w:r>
          </w:p>
        </w:tc>
        <w:tc>
          <w:tcPr>
            <w:tcW w:type="dxa" w:w="2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Exposure</w:t>
            </w:r>
          </w:p>
        </w:tc>
        <w:tc>
          <w:tcPr>
            <w:tcW w:type="dxa" w:w="44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Recommended Mitigation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State has not adopted NAIC Model 582</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Calculator’s 582 compliance framework may not match state-specific illustration regulations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Maintain a state-by-state applicability matrix. In states without 582 adoption, apply the state’s own illustration regulation (if any) or default to 582 as best practice.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Rep modifies standalone HTML file</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Unauthorized modifications could remove disclosures, alter calculations, or add misleading content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Distribute files with SHA-256 integrity hash. Supervisory procedures should include periodic hash verification. Consider read-only distribution via secure download portal.</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“Identical outputs” claim between versions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Stewardly and standalone versions may diverge due to rounding differences, library updates, or deployment timing</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Implement automated regression testing that compares outputs across versions for identical inputs. Document testing cadence (at minimum: every release). Archive test results for supervisory review.</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Supervisory checklist rubber-stamped</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22-item checklist could become perfunctory rather than substantive</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Require the reviewing principal to document substantive findings for at least 5 specific checklist items per review. Rotate the 5 items to ensure full coverage over multiple reviews.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Stewardly AI chat makes a recommendation</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If GenAI chat feature generates output that constitutes a recommendation, it triggers Reg BI/fiduciary obligations without human review</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AI chat must be configured to (a) never recommend specific products, (b) include the verbatim 2214(d) disclosure in every response that includes projections, (c) be subject to post-interaction sampling review, and (d) include a prominent “AI-generated; not a recommendation” label per FINRA 2026 guidance.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Methodology panel fails to render</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If the methodology link/panel is broken, all five SEC Marketing Rule conditions under 206(4)-1(e)(8) fail simultaneously</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Implement automated uptime monitoring for the methodology section. Include the methodology text as a fallback inline in the page footer (condensed version). For standalone HTML, methodology is embedded and cannot fail independently.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Calculator outputs forwarded to third parties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Client forwards PDF to another person; disclosures may be separated from context</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PDF exports must be self-contained: every page carries firm identification, disclosures, and the 2214(d) prescribed language. Header/footer disclosures cannot be removed by the recipient.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Use with non-English-speaking clients</w:t>
            </w:r>
          </w:p>
        </w:tc>
        <w:tc>
          <w:tcPr>
            <w:tcW w:type="dxa" w:w="2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Disclosures in English only may not satisfy “clear and prominent” standard for non-English-speaking retail investors</w:t>
            </w:r>
          </w:p>
        </w:tc>
        <w:tc>
          <w:tcPr>
            <w:tcW w:type="dxa" w:w="44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If ESI representatives serve non-English-speaking clients using the calculators, translated disclosure language should be developed for the primary languages served and reviewed by ESI compliance.</w:t>
            </w:r>
          </w:p>
        </w:tc>
      </w:tr>
    </w:tbl>
    <w:p>
      <w:r>
        <w:rPr>
          <w:rFonts w:ascii="Arial" w:cs="Arial" w:eastAsia="Arial" w:hAnsi="Arial"/>
        </w:rPr>
        <w:t xml:space="preserve"/>
      </w:r>
      <w:r>
        <w:br w:type="page"/>
      </w:r>
    </w:p>
    <w:p>
      <w:pPr>
        <w:pStyle w:val="Heading1"/>
      </w:pPr>
      <w:r>
        <w:t xml:space="preserve">Section 8: Approval and Certification</w:t>
      </w:r>
    </w:p>
    <w:p>
      <w:pPr>
        <w:pStyle w:val="Heading2"/>
      </w:pPr>
      <w:r>
        <w:t xml:space="preserve">8.1  Submitter Certification</w:t>
      </w:r>
    </w:p>
    <w:p>
      <w:pPr>
        <w:spacing w:after="120"/>
      </w:pPr>
      <w:r>
        <w:rPr>
          <w:rFonts w:ascii="Arial" w:cs="Arial" w:eastAsia="Arial" w:hAnsi="Arial"/>
          <w:sz w:val="22"/>
          <w:szCs w:val="22"/>
        </w:rPr>
        <w:t xml:space="preserve">I certify that the information in this compliance submission package is accurate and complete to the best of my knowledge. I understand that material changes to the calculators, disclosures, or deployment require re-submission for supervisory review. I further certify that the tool does not constitute a recommendation under Regulation Best Interest and that representatives will be trained on proper usage, including Reg BI obligations when using calculator outputs in connection with recommendations.</w:t>
      </w:r>
    </w:p>
    <w:p>
      <w:pPr>
        <w:spacing w:after="200"/>
      </w:pPr>
    </w:p>
    <w:p>
      <w:pPr>
        <w:spacing w:after="120"/>
      </w:pPr>
      <w:r>
        <w:rPr>
          <w:rFonts w:ascii="Arial" w:cs="Arial" w:eastAsia="Arial" w:hAnsi="Arial"/>
          <w:sz w:val="22"/>
          <w:szCs w:val="22"/>
        </w:rPr>
        <w:t xml:space="preserve">Signature: _________________________________</w:t>
      </w:r>
    </w:p>
    <w:p>
      <w:pPr>
        <w:spacing w:after="120"/>
      </w:pPr>
      <w:r>
        <w:rPr>
          <w:rFonts w:ascii="Arial" w:cs="Arial" w:eastAsia="Arial" w:hAnsi="Arial"/>
          <w:sz w:val="22"/>
          <w:szCs w:val="22"/>
        </w:rPr>
        <w:t xml:space="preserve">Name: Mike Penn</w:t>
      </w:r>
    </w:p>
    <w:p>
      <w:pPr>
        <w:spacing w:after="120"/>
      </w:pPr>
      <w:r>
        <w:rPr>
          <w:rFonts w:ascii="Arial" w:cs="Arial" w:eastAsia="Arial" w:hAnsi="Arial"/>
          <w:sz w:val="22"/>
          <w:szCs w:val="22"/>
        </w:rPr>
        <w:t xml:space="preserve">Title: Principal, WealthBridge Financial Group</w:t>
      </w:r>
    </w:p>
    <w:p>
      <w:pPr>
        <w:spacing w:after="120"/>
      </w:pPr>
      <w:r>
        <w:rPr>
          <w:rFonts w:ascii="Arial" w:cs="Arial" w:eastAsia="Arial" w:hAnsi="Arial"/>
          <w:sz w:val="22"/>
          <w:szCs w:val="22"/>
        </w:rPr>
        <w:t xml:space="preserve">Date: April 7, 2026</w:t>
      </w:r>
    </w:p>
    <w:p>
      <w:pPr>
        <w:spacing w:after="300"/>
      </w:pPr>
    </w:p>
    <w:p>
      <w:pPr>
        <w:pStyle w:val="Heading2"/>
      </w:pPr>
      <w:r>
        <w:t xml:space="preserve">8.2  ESI Supervisory Approval</w:t>
      </w:r>
    </w:p>
    <w:p>
      <w:pPr>
        <w:spacing w:after="100"/>
      </w:pPr>
    </w:p>
    <w:p>
      <w:pPr>
        <w:spacing w:after="120"/>
      </w:pPr>
      <w:r>
        <w:rPr>
          <w:rFonts w:ascii="Arial" w:cs="Arial" w:eastAsia="Arial" w:hAnsi="Arial"/>
          <w:b/>
          <w:bCs/>
          <w:sz w:val="24"/>
          <w:szCs w:val="24"/>
        </w:rPr>
        <w:t xml:space="preserve">□  APPROVED — Tool may be deployed as submitted</w:t>
      </w:r>
    </w:p>
    <w:p>
      <w:pPr>
        <w:spacing w:after="120"/>
      </w:pPr>
      <w:r>
        <w:rPr>
          <w:rFonts w:ascii="Arial" w:cs="Arial" w:eastAsia="Arial" w:hAnsi="Arial"/>
          <w:b/>
          <w:bCs/>
          <w:sz w:val="24"/>
          <w:szCs w:val="24"/>
        </w:rPr>
        <w:t xml:space="preserve">□  APPROVED WITH CONDITIONS — See attached conditions; deploy after conditions met</w:t>
      </w:r>
    </w:p>
    <w:p>
      <w:pPr>
        <w:spacing w:after="200"/>
      </w:pPr>
      <w:r>
        <w:rPr>
          <w:rFonts w:ascii="Arial" w:cs="Arial" w:eastAsia="Arial" w:hAnsi="Arial"/>
          <w:b/>
          <w:bCs/>
          <w:sz w:val="24"/>
          <w:szCs w:val="24"/>
        </w:rPr>
        <w:t xml:space="preserve">□  RETURNED FOR REVISION — See attached; resubmit after revisions</w:t>
      </w:r>
    </w:p>
    <w:p>
      <w:pPr>
        <w:spacing w:after="100"/>
      </w:pPr>
    </w:p>
    <w:p>
      <w:pPr>
        <w:spacing w:after="120"/>
      </w:pPr>
      <w:r>
        <w:rPr>
          <w:rFonts w:ascii="Arial" w:cs="Arial" w:eastAsia="Arial" w:hAnsi="Arial"/>
          <w:sz w:val="22"/>
          <w:szCs w:val="22"/>
        </w:rPr>
        <w:t xml:space="preserve">Signature: _________________________________</w:t>
      </w:r>
    </w:p>
    <w:p>
      <w:pPr>
        <w:spacing w:after="120"/>
      </w:pPr>
      <w:r>
        <w:rPr>
          <w:rFonts w:ascii="Arial" w:cs="Arial" w:eastAsia="Arial" w:hAnsi="Arial"/>
          <w:sz w:val="22"/>
          <w:szCs w:val="22"/>
        </w:rPr>
        <w:t xml:space="preserve">Name: _________________________________</w:t>
      </w:r>
    </w:p>
    <w:p>
      <w:pPr>
        <w:spacing w:after="120"/>
      </w:pPr>
      <w:r>
        <w:rPr>
          <w:rFonts w:ascii="Arial" w:cs="Arial" w:eastAsia="Arial" w:hAnsi="Arial"/>
          <w:sz w:val="22"/>
          <w:szCs w:val="22"/>
        </w:rPr>
        <w:t xml:space="preserve">Title: Registered Principal, Equity Services, Inc.</w:t>
      </w:r>
    </w:p>
    <w:p>
      <w:pPr>
        <w:spacing w:after="120"/>
      </w:pPr>
      <w:r>
        <w:rPr>
          <w:rFonts w:ascii="Arial" w:cs="Arial" w:eastAsia="Arial" w:hAnsi="Arial"/>
          <w:sz w:val="22"/>
          <w:szCs w:val="22"/>
        </w:rPr>
        <w:t xml:space="preserve">CRD#: _________________________________</w:t>
      </w:r>
    </w:p>
    <w:p>
      <w:pPr>
        <w:spacing w:after="120"/>
      </w:pPr>
      <w:r>
        <w:rPr>
          <w:rFonts w:ascii="Arial" w:cs="Arial" w:eastAsia="Arial" w:hAnsi="Arial"/>
          <w:sz w:val="22"/>
          <w:szCs w:val="22"/>
        </w:rPr>
        <w:t xml:space="preserve">Date: _________________________________</w:t>
      </w:r>
    </w:p>
    <w:p>
      <w:pPr>
        <w:spacing w:after="300"/>
      </w:pPr>
    </w:p>
    <w:p>
      <w:pPr>
        <w:pStyle w:val="Heading2"/>
      </w:pPr>
      <w:r>
        <w:t xml:space="preserve">8.3  FINRA Access Tracking</w:t>
      </w:r>
    </w:p>
    <w:p>
      <w:pPr>
        <w:spacing w:after="120"/>
      </w:pPr>
      <w:r>
        <w:rPr>
          <w:rFonts w:ascii="Arial" w:cs="Arial" w:eastAsia="Arial" w:hAnsi="Arial"/>
          <w:sz w:val="22"/>
          <w:szCs w:val="22"/>
        </w:rPr>
        <w:t xml:space="preserve">Per amended Rule 2214, filing of templates is no longer required. Access will be provided upon FINRA request. Track all access events below:</w:t>
      </w:r>
    </w:p>
    <w:p>
      <w:pPr>
        <w:spacing w:after="5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Event</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Date</w:t>
            </w:r>
          </w:p>
        </w:tc>
        <w:tc>
          <w:tcPr>
            <w:tcW w:type="dxa" w:w="27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FINRA Contact / Reference</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Initial tool access provided to FINRA (if requested)</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Material change notification (if applicable)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r>
      <w:tr>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i w:val="false"/>
                <w:iCs w:val="false"/>
                <w:color w:val="000000"/>
                <w:sz w:val="20"/>
                <w:szCs w:val="20"/>
              </w:rPr>
              <w:t xml:space="preserve">Re-access provided after material change (if applicable)</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c>
          <w:tcPr>
            <w:tcW w:type="dxa" w:w="27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20"/>
                <w:szCs w:val="20"/>
              </w:rPr>
              <w:t xml:space="preserve">________________</w:t>
            </w:r>
          </w:p>
        </w:tc>
      </w:tr>
    </w:tbl>
    <w:p>
      <w:pPr>
        <w:spacing w:after="200"/>
      </w:pPr>
    </w:p>
    <w:p>
      <w:pPr>
        <w:pBdr>
          <w:top w:val="single" w:color="1B3A5C" w:sz="4" w:space="8"/>
        </w:pBdr>
        <w:spacing w:before="200"/>
        <w:jc w:val="center"/>
      </w:pPr>
      <w:r>
        <w:rPr>
          <w:rFonts w:ascii="Arial" w:cs="Arial" w:eastAsia="Arial" w:hAnsi="Arial"/>
          <w:b/>
          <w:bCs/>
          <w:color w:val="1B3A5C"/>
          <w:sz w:val="20"/>
          <w:szCs w:val="20"/>
        </w:rPr>
        <w:t xml:space="preserve">END OF COMPLIANCE SUBMISSION PACKAGE</w:t>
      </w:r>
    </w:p>
    <w:p>
      <w:pPr>
        <w:spacing w:after="50"/>
      </w:pPr>
    </w:p>
    <w:p>
      <w:pPr>
        <w:jc w:val="center"/>
      </w:pPr>
      <w:r>
        <w:rPr>
          <w:rFonts w:ascii="Arial" w:cs="Arial" w:eastAsia="Arial" w:hAnsi="Arial"/>
          <w:i/>
          <w:iCs/>
          <w:color w:val="555555"/>
          <w:sz w:val="16"/>
          <w:szCs w:val="16"/>
        </w:rPr>
        <w:t xml:space="preserve">Securities and investment advisory services offered through Equity Services, Inc. (ESI), Member FINRA/SIPC, a Broker/Dealer and Registered Investment Adviser affiliate of National Life Insurance Company, Montpelier, VT. (800) 344-7437. National Life Group® is a trade name of National Life Insurance Company and its affiliates.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555555"/>
        <w:sz w:val="16"/>
        <w:szCs w:val="16"/>
      </w:rPr>
      <w:t xml:space="preserve">CONFIDENTIAL — 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WealthBridge Financial Group / ESI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i/>
        <w:iCs/>
        <w:color w:val="555555"/>
        <w:sz w:val="16"/>
        <w:szCs w:val="16"/>
      </w:rPr>
      <w:t xml:space="preserve">WealthBridge Calculator Suite — ESI/NLG Compliance Submission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2026-04-07T22:43:14.970Z</dcterms:created>
  <dcterms:modified xsi:type="dcterms:W3CDTF">2026-04-07T22:43:14.971Z</dcterms:modified>
</cp:coreProperties>
</file>

<file path=docProps/custom.xml><?xml version="1.0" encoding="utf-8"?>
<Properties xmlns="http://schemas.openxmlformats.org/officeDocument/2006/custom-properties" xmlns:vt="http://schemas.openxmlformats.org/officeDocument/2006/docPropsVTypes"/>
</file>