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01A5" w:rsidRDefault="009501A5" w:rsidP="00FA7155">
      <w:pPr>
        <w:rPr>
          <w:rtl/>
        </w:rPr>
      </w:pPr>
      <w:proofErr w:type="spellStart"/>
      <w:r>
        <w:rPr>
          <w:rFonts w:cs="Arial"/>
          <w:rtl/>
        </w:rPr>
        <w:t>برومبت</w:t>
      </w:r>
      <w:proofErr w:type="spellEnd"/>
      <w:r>
        <w:rPr>
          <w:rFonts w:cs="Arial"/>
          <w:rtl/>
        </w:rPr>
        <w:t xml:space="preserve"> احترافي: إعداد خطة تأسيس قسم المراجعة الداخلية بصفتك خبيرًا في </w:t>
      </w:r>
      <w:proofErr w:type="spellStart"/>
      <w:r>
        <w:rPr>
          <w:rFonts w:cs="Arial"/>
          <w:rtl/>
        </w:rPr>
        <w:t>الحوكمة</w:t>
      </w:r>
      <w:proofErr w:type="spellEnd"/>
      <w:r>
        <w:rPr>
          <w:rFonts w:cs="Arial"/>
          <w:rtl/>
        </w:rPr>
        <w:t xml:space="preserve">، إدارة المخاطر، والمراجعة الداخلية، نطلب منك إعداد خطة متكاملة لتأسيس قسم المراجعة الداخلية </w:t>
      </w:r>
      <w:bookmarkStart w:id="0" w:name="_GoBack"/>
      <w:bookmarkEnd w:id="0"/>
      <w:r>
        <w:rPr>
          <w:rFonts w:cs="Arial"/>
          <w:rtl/>
        </w:rPr>
        <w:t xml:space="preserve">، تُراعي طبيعة عملياتها الصناعية واللوجستية، وحجمها التشغيلي، وارتباطها الاستراتيجي بأهداف الشركة. يجب أن تشمل الخطة جميع العناصر التالية، وفقًا لأفضل الممارسات الدولية (خاصة مبادئ </w:t>
      </w:r>
      <w:r>
        <w:t>IPPF</w:t>
      </w:r>
      <w:r>
        <w:rPr>
          <w:rFonts w:cs="Arial"/>
          <w:rtl/>
        </w:rPr>
        <w:t xml:space="preserve"> الصادرة عن معهد المدققين الداخليين – </w:t>
      </w:r>
      <w:r>
        <w:t>IIA</w:t>
      </w:r>
      <w:r>
        <w:rPr>
          <w:rFonts w:cs="Arial"/>
          <w:rtl/>
        </w:rPr>
        <w:t>):</w:t>
      </w:r>
    </w:p>
    <w:p w:rsidR="009501A5" w:rsidRDefault="009501A5" w:rsidP="009501A5">
      <w:pPr>
        <w:rPr>
          <w:rtl/>
        </w:rPr>
      </w:pP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1. الهيكل التنظيمي للقسم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اقتراح هيكل تنظيمي مرن وقابل للتوسع، يتناسب مع حجم الشركة وعدد المواقع التشغيلية (مثل المصانع، مراكز التوزيع، المكاتب الإدارية).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تحديد عدد الموظفين المطلوبين بناءً على تقييم أولي لحجم العمليات.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تحديد المسميات الوظيفية (مثال: مدير المراجعة الداخلية، مراجع أول – قطاع التصنيع، مراجع أول – قطاع الدعم، مراجع داخلي، مراجع متدرب).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إعداد وصف وظيفي مفصل لكل دور، يشمل: المسؤوليات، المؤهلات، المهارات الفنية والسلوكية، وعلاقة التبعية التنظيمية.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التأكيد على استقلالية القسم وارتباطه المباشر بلجنة المراجعة التابعة لمجلس الإدارة.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 xml:space="preserve">2. وثائق </w:t>
      </w:r>
      <w:proofErr w:type="spellStart"/>
      <w:r>
        <w:rPr>
          <w:rFonts w:cs="Arial"/>
          <w:rtl/>
        </w:rPr>
        <w:t>الحوكمة</w:t>
      </w:r>
      <w:proofErr w:type="spellEnd"/>
      <w:r>
        <w:rPr>
          <w:rFonts w:cs="Arial"/>
          <w:rtl/>
        </w:rPr>
        <w:t xml:space="preserve"> الأساسية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 xml:space="preserve">إعداد الحزمة الأساسية من وثائق </w:t>
      </w:r>
      <w:proofErr w:type="spellStart"/>
      <w:r>
        <w:rPr>
          <w:rFonts w:cs="Arial"/>
          <w:rtl/>
        </w:rPr>
        <w:t>الحوكمة</w:t>
      </w:r>
      <w:proofErr w:type="spellEnd"/>
      <w:r>
        <w:rPr>
          <w:rFonts w:cs="Arial"/>
          <w:rtl/>
        </w:rPr>
        <w:t>، تشمل:</w:t>
      </w:r>
    </w:p>
    <w:p w:rsidR="009501A5" w:rsidRDefault="009501A5" w:rsidP="009501A5">
      <w:pPr>
        <w:rPr>
          <w:rtl/>
        </w:rPr>
      </w:pP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ميثاق المراجعة الداخلية (</w:t>
      </w:r>
      <w:r>
        <w:t>Internal Audit Charter</w:t>
      </w:r>
      <w:r>
        <w:rPr>
          <w:rFonts w:cs="Arial"/>
          <w:rtl/>
        </w:rPr>
        <w:t>):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يُحدد الغرض، النطاق، الصلاحيات، والاستقلالية.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 xml:space="preserve">يتوافق مع مبادئ </w:t>
      </w:r>
      <w:r>
        <w:t>IPPF</w:t>
      </w:r>
      <w:r>
        <w:rPr>
          <w:rFonts w:cs="Arial"/>
          <w:rtl/>
        </w:rPr>
        <w:t xml:space="preserve"> ومعايير </w:t>
      </w:r>
      <w:r>
        <w:t>IIA</w:t>
      </w:r>
      <w:r>
        <w:rPr>
          <w:rFonts w:cs="Arial"/>
          <w:rtl/>
        </w:rPr>
        <w:t>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يُعتمد سنويًا من لجنة المراجعة.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السياسات والإجراءات الداخلية للمراجعة: تغطي دورة حياة المراجعة (التخطيط، التنفيذ، التقرير، المتابعة).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دليل العمل التفصيلي (</w:t>
      </w:r>
      <w:r>
        <w:t>Audit Manual</w:t>
      </w:r>
      <w:r>
        <w:rPr>
          <w:rFonts w:cs="Arial"/>
          <w:rtl/>
        </w:rPr>
        <w:t>):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يحتوي على منهجيات المراجعة، قوالب التقارير، أدوات جمع الأدلة، ومعايير جودة الأداء.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3. تقييم أولي للمخاطر (</w:t>
      </w:r>
      <w:r>
        <w:t>Initial Risk Assessment</w:t>
      </w:r>
      <w:r>
        <w:rPr>
          <w:rFonts w:cs="Arial"/>
          <w:rtl/>
        </w:rPr>
        <w:t>)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تصميم وتنفيذ تقييم أولي شامل للمخاطر عبر: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عقد ورش عمل ومقابلات مع رؤساء الإدارات الرئيسية (الإنتاج، التوزيع، الجودة، المخزون، المالية، المشتريات، الموارد البشرية).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 xml:space="preserve">مراجعة تقارير خارجية ذات صلة (مثل تقارير الرقابة، شهادات </w:t>
      </w:r>
      <w:r>
        <w:t>ISO</w:t>
      </w:r>
      <w:r>
        <w:rPr>
          <w:rFonts w:cs="Arial"/>
          <w:rtl/>
        </w:rPr>
        <w:t>، تقارير الجودة، تقارير الحوادث).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تحليل العمليات الحرجة والحساسة من منظور المخاطر التشغيلية والمالية والامتثالية.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إعداد مصفوفة مخاطر (</w:t>
      </w:r>
      <w:r>
        <w:t>Risk Matrix</w:t>
      </w:r>
      <w:r>
        <w:rPr>
          <w:rFonts w:cs="Arial"/>
          <w:rtl/>
        </w:rPr>
        <w:t>) تصنّف المخاطر إلى: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استراتيجية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تشغيلية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مالية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lastRenderedPageBreak/>
        <w:t>امتثال وتشريعات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 xml:space="preserve">استخدام أدوات تقييم مثل </w:t>
      </w:r>
      <w:r>
        <w:t>Risk Heat Map</w:t>
      </w:r>
      <w:r>
        <w:rPr>
          <w:rFonts w:cs="Arial"/>
          <w:rtl/>
        </w:rPr>
        <w:t>، مع اقتراح نظام رقمي (</w:t>
      </w:r>
      <w:r>
        <w:t>Excel</w:t>
      </w:r>
      <w:r>
        <w:rPr>
          <w:rFonts w:cs="Arial"/>
          <w:rtl/>
        </w:rPr>
        <w:t xml:space="preserve"> أو أدوات متخصصة مثل </w:t>
      </w:r>
      <w:proofErr w:type="spellStart"/>
      <w:r>
        <w:t>TeamMate</w:t>
      </w:r>
      <w:proofErr w:type="spellEnd"/>
      <w:r>
        <w:rPr>
          <w:rFonts w:cs="Arial"/>
          <w:rtl/>
        </w:rPr>
        <w:t xml:space="preserve"> أو </w:t>
      </w:r>
      <w:proofErr w:type="spellStart"/>
      <w:r>
        <w:t>AuditBoard</w:t>
      </w:r>
      <w:proofErr w:type="spellEnd"/>
      <w:r>
        <w:rPr>
          <w:rFonts w:cs="Arial"/>
          <w:rtl/>
        </w:rPr>
        <w:t>) لإدارة المخاطر.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4. خطة المراجعة السنوية المبنية على المخاطر (</w:t>
      </w:r>
      <w:r>
        <w:t>Risk-Based Annual Audit Plan</w:t>
      </w:r>
      <w:r>
        <w:rPr>
          <w:rFonts w:cs="Arial"/>
          <w:rtl/>
        </w:rPr>
        <w:t>)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تصميم خطة مراجعة سنوية تعتمد على نتائج تقييم المخاطر، وتشمل: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المرحلة 1: تحديد وتصنيف المخاطر باستخدام مصادر متعددة (تقارير الحوادث، الأداء المالي، تقارير التدقيق السابقة، مقابلات الإدارة العليا).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 xml:space="preserve">المرحلة 2: تحديد الأولويات عبر تقييم (الأثر × الاحتمالية)، وتصنيفها إلى </w:t>
      </w:r>
      <w:r>
        <w:t>High / Medium / Low</w:t>
      </w:r>
      <w:r>
        <w:rPr>
          <w:rFonts w:cs="Arial"/>
          <w:rtl/>
        </w:rPr>
        <w:t>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تخصيص الموارد البشرية والزمنية وفقًا لمستوى الأولوية.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دمج مراجعات دورية مع مراجعات مفاجئة عند الحاجة.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تضمين آلية لمراجعة الخطة ربع سنويًا لضمان مرونتها واستجابتها للتغيرات التشغيلية.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5. توصيات تأسيسية لضمان النجاح والاستدامة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البدء بالمجالات الحرجة (مثل سلسلة التوريد، المخزون، الامتثال المالي).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 xml:space="preserve">بناء الثقة التنظيمية: عبر تقارير احترافية، تواصل فعّال، ونهج تشاركي (مثل </w:t>
      </w:r>
      <w:r>
        <w:t>Walkthrough Audits</w:t>
      </w:r>
      <w:r>
        <w:rPr>
          <w:rFonts w:cs="Arial"/>
          <w:rtl/>
        </w:rPr>
        <w:t>).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تمكين الفريق: توفير برامج تدريبية في المراجعة، تحليل البيانات، وإدارة المخاطر.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 xml:space="preserve">التحول الرقمي: اعتماد أدوات رقمية لإدارة المراجعة وتتبع التوصيات (مثل </w:t>
      </w:r>
      <w:proofErr w:type="spellStart"/>
      <w:r>
        <w:t>AuditBoard</w:t>
      </w:r>
      <w:proofErr w:type="spellEnd"/>
      <w:r>
        <w:rPr>
          <w:rFonts w:cs="Arial"/>
          <w:rtl/>
        </w:rPr>
        <w:t xml:space="preserve"> أو </w:t>
      </w:r>
      <w:proofErr w:type="spellStart"/>
      <w:r>
        <w:t>TeamMate</w:t>
      </w:r>
      <w:proofErr w:type="spellEnd"/>
      <w:r>
        <w:rPr>
          <w:rFonts w:cs="Arial"/>
          <w:rtl/>
        </w:rPr>
        <w:t>).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نظام متابعة تنفيذ التوصيات: يحتوي على مؤشرات أداء (</w:t>
      </w:r>
      <w:r>
        <w:t>KPIs</w:t>
      </w:r>
      <w:r>
        <w:rPr>
          <w:rFonts w:cs="Arial"/>
          <w:rtl/>
        </w:rPr>
        <w:t>) ولوحة متابعة مرئية (أحمر/أصفر/أخضر).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 xml:space="preserve">تقييم ذاتي أو خارجي سنوي لأداء القسم وفق معايير </w:t>
      </w:r>
      <w:r>
        <w:t>IIA</w:t>
      </w:r>
      <w:r>
        <w:rPr>
          <w:rFonts w:cs="Arial"/>
          <w:rtl/>
        </w:rPr>
        <w:t>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تقارير تأثير المراجعة (</w:t>
      </w:r>
      <w:r>
        <w:t>Audit Impact Reports</w:t>
      </w:r>
      <w:r>
        <w:rPr>
          <w:rFonts w:cs="Arial"/>
          <w:rtl/>
        </w:rPr>
        <w:t>) تُظهر القيمة المضافة بلغة الأرقام (توفير تكاليف، تقليل هدر، تحسين كفاءة).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6. تعزيز الدور الاستشاري والتأثير الاستراتيجي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تصميم نموذج عمل يجعل المراجعة الداخلية شريكًا استراتيجيًا، لا مجرد جهة رقابية، من خلال: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تقديم تحليلات جذرية وحلول عملية (وليس فقط رصد المخالفات).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ربط التوصيات بمؤشرات الأداء (</w:t>
      </w:r>
      <w:r>
        <w:t>KPIs</w:t>
      </w:r>
      <w:r>
        <w:rPr>
          <w:rFonts w:cs="Arial"/>
          <w:rtl/>
        </w:rPr>
        <w:t>) والربحية.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 xml:space="preserve">المشاركة في لجان اتخاذ القرار كمستشار </w:t>
      </w:r>
      <w:proofErr w:type="spellStart"/>
      <w:r>
        <w:rPr>
          <w:rFonts w:cs="Arial"/>
          <w:rtl/>
        </w:rPr>
        <w:t>حوكمة</w:t>
      </w:r>
      <w:proofErr w:type="spellEnd"/>
      <w:r>
        <w:rPr>
          <w:rFonts w:cs="Arial"/>
          <w:rtl/>
        </w:rPr>
        <w:t>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تنفيذ مراجعات سلوكية (</w:t>
      </w:r>
      <w:r>
        <w:t>Ethics Audits</w:t>
      </w:r>
      <w:r>
        <w:rPr>
          <w:rFonts w:cs="Arial"/>
          <w:rtl/>
        </w:rPr>
        <w:t>) ومراجعة سياسات التبليغ عن المخالفات (</w:t>
      </w:r>
      <w:r>
        <w:t>Whistleblowing Policy</w:t>
      </w:r>
      <w:r>
        <w:rPr>
          <w:rFonts w:cs="Arial"/>
          <w:rtl/>
        </w:rPr>
        <w:t>).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المخرجات المطلوبة: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هيكل تنظيمي مقترح + وصف وظيفي كامل.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مسودة ميثاق المراجعة الداخلية.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سياسات وإجراءات المراجعة + دليل العمل (</w:t>
      </w:r>
      <w:r>
        <w:t>Audit Manual</w:t>
      </w:r>
      <w:r>
        <w:rPr>
          <w:rFonts w:cs="Arial"/>
          <w:rtl/>
        </w:rPr>
        <w:t>).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مصفوفة مخاطر أولية + خطة مراجعة سنوية.</w:t>
      </w:r>
    </w:p>
    <w:p w:rsidR="009501A5" w:rsidRDefault="009501A5" w:rsidP="009501A5">
      <w:pPr>
        <w:rPr>
          <w:rtl/>
        </w:rPr>
      </w:pPr>
      <w:r>
        <w:rPr>
          <w:rFonts w:cs="Arial"/>
          <w:rtl/>
        </w:rPr>
        <w:t>خارطة طريق تنفيذية (</w:t>
      </w:r>
      <w:r>
        <w:t>Roadmap</w:t>
      </w:r>
      <w:r>
        <w:rPr>
          <w:rFonts w:cs="Arial"/>
          <w:rtl/>
        </w:rPr>
        <w:t>) لمدة 12 شهرًا، مع مؤشرات نجاح.</w:t>
      </w:r>
    </w:p>
    <w:p w:rsidR="008F254C" w:rsidRDefault="009501A5" w:rsidP="009501A5">
      <w:r>
        <w:rPr>
          <w:rFonts w:cs="Arial"/>
          <w:rtl/>
        </w:rPr>
        <w:t>توصيات حول الأدوات الرقمية والتدريب والثقافة التنظيمية.</w:t>
      </w:r>
    </w:p>
    <w:sectPr w:rsidR="008F254C" w:rsidSect="009B045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1A5"/>
    <w:rsid w:val="008F254C"/>
    <w:rsid w:val="009501A5"/>
    <w:rsid w:val="009B045E"/>
    <w:rsid w:val="00FA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D831B55-2D67-4405-A3CD-5C459C84D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2</cp:revision>
  <dcterms:created xsi:type="dcterms:W3CDTF">2025-10-30T12:26:00Z</dcterms:created>
  <dcterms:modified xsi:type="dcterms:W3CDTF">2026-02-01T07:04:00Z</dcterms:modified>
</cp:coreProperties>
</file>