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ascii="微软雅黑" w:hAnsi="微软雅黑" w:eastAsia="微软雅黑"/>
          <w:sz w:val="24"/>
          <w:szCs w:val="24"/>
        </w:rPr>
      </w:pPr>
    </w:p>
    <w:p>
      <w:pPr>
        <w:spacing w:line="360" w:lineRule="auto"/>
        <w:rPr>
          <w:rFonts w:ascii="微软雅黑" w:hAnsi="微软雅黑" w:eastAsia="微软雅黑"/>
          <w:sz w:val="24"/>
          <w:szCs w:val="24"/>
        </w:rPr>
      </w:pPr>
    </w:p>
    <w:p>
      <w:pPr>
        <w:spacing w:line="360" w:lineRule="auto"/>
        <w:rPr>
          <w:rFonts w:ascii="微软雅黑" w:hAnsi="微软雅黑" w:eastAsia="微软雅黑"/>
          <w:sz w:val="24"/>
          <w:szCs w:val="24"/>
        </w:rPr>
      </w:pPr>
    </w:p>
    <w:p>
      <w:pPr>
        <w:spacing w:line="360" w:lineRule="auto"/>
        <w:rPr>
          <w:rFonts w:ascii="微软雅黑" w:hAnsi="微软雅黑" w:eastAsia="微软雅黑"/>
          <w:sz w:val="24"/>
          <w:szCs w:val="24"/>
        </w:rPr>
      </w:pPr>
    </w:p>
    <w:p>
      <w:pPr>
        <w:spacing w:line="360" w:lineRule="auto"/>
        <w:rPr>
          <w:rFonts w:ascii="微软雅黑" w:hAnsi="微软雅黑" w:eastAsia="微软雅黑"/>
          <w:sz w:val="24"/>
          <w:szCs w:val="24"/>
        </w:rPr>
      </w:pPr>
    </w:p>
    <w:p>
      <w:pPr>
        <w:bidi w:val="0"/>
        <w:jc w:val="center"/>
        <w:rPr>
          <w:rFonts w:hint="eastAsia" w:ascii="微软雅黑" w:hAnsi="微软雅黑" w:eastAsia="微软雅黑" w:cs="微软雅黑"/>
          <w:b/>
          <w:bCs/>
          <w:sz w:val="44"/>
          <w:szCs w:val="44"/>
        </w:rPr>
      </w:pPr>
      <w:bookmarkStart w:id="0" w:name="_Toc26234"/>
      <w:bookmarkStart w:id="1" w:name="_Toc23602"/>
      <w:bookmarkStart w:id="2" w:name="_Toc367"/>
      <w:bookmarkStart w:id="3" w:name="_Toc1812"/>
      <w:bookmarkStart w:id="4" w:name="_Toc12778"/>
      <w:r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  <w:t>湖北中烟工程中心</w:t>
      </w:r>
      <w:bookmarkStart w:id="98" w:name="_GoBack"/>
      <w:bookmarkEnd w:id="98"/>
      <w:r>
        <w:rPr>
          <w:rFonts w:hint="eastAsia" w:ascii="微软雅黑" w:hAnsi="微软雅黑" w:eastAsia="微软雅黑" w:cs="微软雅黑"/>
          <w:b/>
          <w:bCs/>
          <w:sz w:val="44"/>
          <w:szCs w:val="44"/>
        </w:rPr>
        <w:t>数字管理应用用户操作手册</w:t>
      </w:r>
      <w:bookmarkEnd w:id="0"/>
      <w:bookmarkEnd w:id="1"/>
      <w:bookmarkEnd w:id="2"/>
      <w:bookmarkEnd w:id="3"/>
      <w:bookmarkEnd w:id="4"/>
    </w:p>
    <w:p>
      <w:pPr>
        <w:spacing w:line="360" w:lineRule="auto"/>
        <w:jc w:val="center"/>
        <w:rPr>
          <w:rFonts w:ascii="微软雅黑" w:hAnsi="微软雅黑" w:eastAsia="微软雅黑"/>
          <w:b/>
          <w:sz w:val="24"/>
          <w:szCs w:val="24"/>
        </w:rPr>
      </w:pPr>
    </w:p>
    <w:p>
      <w:pPr>
        <w:spacing w:line="360" w:lineRule="auto"/>
        <w:jc w:val="center"/>
        <w:rPr>
          <w:rFonts w:ascii="微软雅黑" w:hAnsi="微软雅黑" w:eastAsia="微软雅黑"/>
          <w:b/>
          <w:sz w:val="24"/>
          <w:szCs w:val="24"/>
        </w:rPr>
      </w:pPr>
    </w:p>
    <w:p>
      <w:pPr>
        <w:spacing w:line="360" w:lineRule="auto"/>
        <w:jc w:val="center"/>
        <w:rPr>
          <w:rFonts w:ascii="微软雅黑" w:hAnsi="微软雅黑" w:eastAsia="微软雅黑"/>
          <w:b/>
          <w:sz w:val="24"/>
          <w:szCs w:val="24"/>
        </w:rPr>
      </w:pPr>
    </w:p>
    <w:p>
      <w:pPr>
        <w:spacing w:line="360" w:lineRule="auto"/>
        <w:rPr>
          <w:rFonts w:ascii="微软雅黑" w:hAnsi="微软雅黑" w:eastAsia="微软雅黑"/>
          <w:b/>
          <w:sz w:val="24"/>
          <w:szCs w:val="24"/>
        </w:rPr>
      </w:pPr>
    </w:p>
    <w:p>
      <w:pPr>
        <w:spacing w:line="360" w:lineRule="auto"/>
        <w:jc w:val="center"/>
        <w:rPr>
          <w:rFonts w:ascii="微软雅黑" w:hAnsi="微软雅黑" w:eastAsia="微软雅黑"/>
          <w:b/>
          <w:sz w:val="24"/>
          <w:szCs w:val="24"/>
        </w:rPr>
      </w:pPr>
    </w:p>
    <w:p>
      <w:pPr>
        <w:spacing w:line="360" w:lineRule="auto"/>
        <w:jc w:val="center"/>
        <w:rPr>
          <w:rFonts w:ascii="微软雅黑" w:hAnsi="微软雅黑" w:eastAsia="微软雅黑"/>
          <w:b/>
          <w:sz w:val="24"/>
          <w:szCs w:val="24"/>
        </w:rPr>
      </w:pPr>
    </w:p>
    <w:p>
      <w:pPr>
        <w:spacing w:line="360" w:lineRule="auto"/>
        <w:rPr>
          <w:rFonts w:ascii="微软雅黑" w:hAnsi="微软雅黑" w:eastAsia="微软雅黑"/>
          <w:b/>
          <w:sz w:val="24"/>
          <w:szCs w:val="24"/>
        </w:rPr>
      </w:pPr>
    </w:p>
    <w:p>
      <w:pPr>
        <w:spacing w:line="360" w:lineRule="auto"/>
        <w:rPr>
          <w:rFonts w:ascii="微软雅黑" w:hAnsi="微软雅黑" w:eastAsia="微软雅黑"/>
          <w:b/>
          <w:sz w:val="24"/>
          <w:szCs w:val="24"/>
        </w:rPr>
      </w:pPr>
    </w:p>
    <w:p>
      <w:pPr>
        <w:spacing w:line="360" w:lineRule="auto"/>
        <w:rPr>
          <w:rFonts w:ascii="微软雅黑" w:hAnsi="微软雅黑" w:eastAsia="微软雅黑"/>
          <w:b/>
          <w:sz w:val="24"/>
          <w:szCs w:val="24"/>
        </w:rPr>
      </w:pPr>
    </w:p>
    <w:p>
      <w:pPr>
        <w:spacing w:line="360" w:lineRule="auto"/>
        <w:rPr>
          <w:rFonts w:ascii="微软雅黑" w:hAnsi="微软雅黑" w:eastAsia="微软雅黑"/>
          <w:b/>
          <w:sz w:val="24"/>
          <w:szCs w:val="24"/>
        </w:rPr>
      </w:pPr>
    </w:p>
    <w:p>
      <w:pPr>
        <w:spacing w:line="360" w:lineRule="auto"/>
        <w:rPr>
          <w:rFonts w:ascii="微软雅黑" w:hAnsi="微软雅黑" w:eastAsia="微软雅黑"/>
          <w:b/>
          <w:sz w:val="24"/>
          <w:szCs w:val="24"/>
        </w:rPr>
      </w:pPr>
    </w:p>
    <w:p>
      <w:pPr>
        <w:spacing w:line="360" w:lineRule="auto"/>
        <w:rPr>
          <w:rFonts w:ascii="微软雅黑" w:hAnsi="微软雅黑" w:eastAsia="微软雅黑"/>
          <w:b/>
          <w:sz w:val="24"/>
          <w:szCs w:val="24"/>
        </w:rPr>
      </w:pPr>
    </w:p>
    <w:p>
      <w:pPr>
        <w:bidi w:val="0"/>
        <w:jc w:val="center"/>
        <w:rPr>
          <w:rFonts w:hint="eastAsia" w:ascii="微软雅黑" w:hAnsi="微软雅黑" w:eastAsia="微软雅黑" w:cs="微软雅黑"/>
          <w:b/>
          <w:bCs/>
          <w:sz w:val="28"/>
          <w:szCs w:val="28"/>
        </w:rPr>
      </w:pPr>
      <w:bookmarkStart w:id="5" w:name="_Toc17357"/>
      <w:bookmarkStart w:id="6" w:name="_Toc30870"/>
      <w:bookmarkStart w:id="7" w:name="_Toc25506"/>
      <w:bookmarkStart w:id="8" w:name="_Toc12325"/>
      <w:bookmarkStart w:id="9" w:name="_Toc28295"/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>湖北中烟工业有限责任公司</w:t>
      </w:r>
      <w:bookmarkEnd w:id="5"/>
      <w:bookmarkEnd w:id="6"/>
      <w:bookmarkEnd w:id="7"/>
      <w:bookmarkEnd w:id="8"/>
      <w:bookmarkEnd w:id="9"/>
    </w:p>
    <w:p>
      <w:pPr>
        <w:bidi w:val="0"/>
        <w:jc w:val="center"/>
        <w:rPr>
          <w:rFonts w:hint="eastAsia" w:ascii="微软雅黑" w:hAnsi="微软雅黑" w:eastAsia="微软雅黑" w:cs="微软雅黑"/>
          <w:b/>
          <w:bCs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>202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4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>年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9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>月</w:t>
      </w:r>
    </w:p>
    <w:p/>
    <w:p>
      <w:pPr>
        <w:spacing w:line="360" w:lineRule="auto"/>
        <w:jc w:val="left"/>
        <w:outlineLvl w:val="9"/>
        <w:rPr>
          <w:rFonts w:hint="eastAsia" w:ascii="微软雅黑" w:hAnsi="微软雅黑" w:eastAsia="微软雅黑" w:cstheme="minorBidi"/>
          <w:b/>
          <w:kern w:val="2"/>
          <w:sz w:val="21"/>
          <w:szCs w:val="24"/>
          <w:lang w:val="en-US" w:eastAsia="zh-CN" w:bidi="ar-SA"/>
        </w:rPr>
      </w:pPr>
    </w:p>
    <w:p>
      <w:pPr>
        <w:pStyle w:val="2"/>
        <w:numPr>
          <w:ilvl w:val="0"/>
          <w:numId w:val="1"/>
        </w:numPr>
        <w:bidi w:val="0"/>
      </w:pPr>
      <w:r>
        <w:rPr>
          <w:rFonts w:hint="eastAsia"/>
        </w:rPr>
        <w:t>登录系统</w:t>
      </w:r>
    </w:p>
    <w:p>
      <w:pPr>
        <w:pStyle w:val="4"/>
        <w:bidi w:val="0"/>
        <w:outlineLvl w:val="1"/>
      </w:pPr>
      <w:bookmarkStart w:id="10" w:name="_Toc8708"/>
      <w:bookmarkStart w:id="11" w:name="_Toc22378"/>
      <w:bookmarkStart w:id="12" w:name="_Toc85461774"/>
      <w:r>
        <w:rPr>
          <w:rFonts w:hint="eastAsia"/>
        </w:rPr>
        <w:t>1.1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前置条件</w:t>
      </w:r>
      <w:bookmarkEnd w:id="10"/>
      <w:bookmarkEnd w:id="11"/>
      <w:bookmarkEnd w:id="12"/>
    </w:p>
    <w:p>
      <w:pPr>
        <w:bidi w:val="0"/>
        <w:ind w:firstLine="480" w:firstLineChars="200"/>
        <w:rPr>
          <w:rFonts w:hint="eastAsia" w:ascii="微软雅黑" w:hAnsi="微软雅黑" w:eastAsia="微软雅黑" w:cs="微软雅黑"/>
          <w:sz w:val="24"/>
          <w:szCs w:val="24"/>
        </w:rPr>
      </w:pPr>
      <w:bookmarkStart w:id="13" w:name="_Toc15144"/>
      <w:bookmarkStart w:id="14" w:name="_Toc25747"/>
      <w:r>
        <w:rPr>
          <w:rFonts w:hint="eastAsia" w:ascii="微软雅黑" w:hAnsi="微软雅黑" w:eastAsia="微软雅黑" w:cs="微软雅黑"/>
          <w:sz w:val="24"/>
          <w:szCs w:val="24"/>
        </w:rPr>
        <w:t>1）推荐使用浏览器。</w:t>
      </w:r>
      <w:bookmarkEnd w:id="13"/>
      <w:bookmarkEnd w:id="14"/>
    </w:p>
    <w:p>
      <w:pPr>
        <w:spacing w:line="360" w:lineRule="auto"/>
        <w:ind w:firstLine="360" w:firstLineChars="15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77215" cy="56324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516" cy="56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sz w:val="24"/>
          <w:szCs w:val="24"/>
        </w:rPr>
        <w:t xml:space="preserve">         </w:t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114300" distR="114300">
            <wp:extent cx="878205" cy="7016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8650" cy="70979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80" w:firstLineChars="200"/>
        <w:rPr>
          <w:rFonts w:hint="eastAsia" w:ascii="微软雅黑" w:hAnsi="微软雅黑" w:eastAsia="微软雅黑" w:cs="微软雅黑"/>
          <w:b/>
          <w:bCs/>
          <w:sz w:val="24"/>
          <w:szCs w:val="24"/>
        </w:rPr>
      </w:pPr>
      <w:bookmarkStart w:id="15" w:name="_Toc7755"/>
      <w:bookmarkStart w:id="16" w:name="_Toc22992"/>
      <w:bookmarkStart w:id="17" w:name="_Toc13668"/>
      <w:bookmarkStart w:id="18" w:name="_Toc5373"/>
      <w:bookmarkStart w:id="19" w:name="_Toc24415"/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 xml:space="preserve">谷歌浏览器        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IE V11.0+</w:t>
      </w:r>
      <w:bookmarkEnd w:id="15"/>
      <w:bookmarkEnd w:id="16"/>
      <w:bookmarkEnd w:id="17"/>
      <w:bookmarkEnd w:id="18"/>
      <w:bookmarkEnd w:id="19"/>
    </w:p>
    <w:p>
      <w:pPr>
        <w:spacing w:line="360" w:lineRule="auto"/>
        <w:ind w:firstLine="484" w:firstLineChars="202"/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hint="eastAsia" w:ascii="微软雅黑" w:hAnsi="微软雅黑" w:eastAsia="微软雅黑"/>
          <w:color w:val="FF0000"/>
          <w:sz w:val="24"/>
          <w:szCs w:val="24"/>
        </w:rPr>
        <w:t>注意：其它浏览器可能不兼容部分特性，使用中会影响系统部分界面的展示效果。</w:t>
      </w:r>
    </w:p>
    <w:p>
      <w:pPr>
        <w:pStyle w:val="4"/>
        <w:bidi w:val="0"/>
        <w:outlineLvl w:val="1"/>
        <w:rPr>
          <w:rFonts w:hint="default"/>
          <w:lang w:val="en-US" w:eastAsia="zh-CN"/>
        </w:rPr>
      </w:pPr>
      <w:bookmarkStart w:id="20" w:name="_Toc85461775"/>
      <w:bookmarkStart w:id="21" w:name="_Toc6653"/>
      <w:bookmarkStart w:id="22" w:name="_Toc24557"/>
      <w:r>
        <w:rPr>
          <w:rFonts w:hint="eastAsia"/>
        </w:rPr>
        <w:t>1.2</w:t>
      </w:r>
      <w:bookmarkEnd w:id="20"/>
      <w:r>
        <w:rPr>
          <w:rFonts w:hint="eastAsia"/>
          <w:lang w:val="en-US" w:eastAsia="zh-CN"/>
        </w:rPr>
        <w:t xml:space="preserve"> 门户登录</w:t>
      </w:r>
      <w:bookmarkEnd w:id="21"/>
      <w:bookmarkEnd w:id="22"/>
    </w:p>
    <w:p>
      <w:pPr>
        <w:spacing w:line="360" w:lineRule="auto"/>
        <w:ind w:firstLine="484" w:firstLineChars="202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1）用户在自己的办公电脑中打开浏览器，在地址栏输入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登录</w:t>
      </w:r>
      <w:r>
        <w:rPr>
          <w:rFonts w:hint="eastAsia" w:ascii="微软雅黑" w:hAnsi="微软雅黑" w:eastAsia="微软雅黑"/>
          <w:sz w:val="24"/>
          <w:szCs w:val="24"/>
        </w:rPr>
        <w:t>IP地址（http://10.157.230.156/#/user/login），输入账号</w:t>
      </w:r>
      <w:r>
        <w:rPr>
          <w:rFonts w:hint="eastAsia" w:ascii="微软雅黑" w:hAnsi="微软雅黑" w:eastAsia="微软雅黑"/>
          <w:sz w:val="24"/>
          <w:szCs w:val="24"/>
          <w:lang w:eastAsia="zh-CN"/>
        </w:rPr>
        <w:t>、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密码和验证码</w:t>
      </w:r>
      <w:r>
        <w:rPr>
          <w:rFonts w:hint="eastAsia" w:ascii="微软雅黑" w:hAnsi="微软雅黑" w:eastAsia="微软雅黑"/>
          <w:sz w:val="24"/>
          <w:szCs w:val="24"/>
        </w:rPr>
        <w:t>，登录到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湖北中烟新型烟草制品工程中心的门户首页</w:t>
      </w:r>
      <w:r>
        <w:rPr>
          <w:rFonts w:hint="eastAsia" w:ascii="微软雅黑" w:hAnsi="微软雅黑" w:eastAsia="微软雅黑"/>
          <w:sz w:val="24"/>
          <w:szCs w:val="24"/>
        </w:rPr>
        <w:t>。</w:t>
      </w:r>
    </w:p>
    <w:p>
      <w:pPr>
        <w:spacing w:line="360" w:lineRule="auto"/>
        <w:jc w:val="left"/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114300" distR="114300">
            <wp:extent cx="5270500" cy="3129915"/>
            <wp:effectExtent l="0" t="0" r="2540" b="952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ascii="微软雅黑" w:hAnsi="微软雅黑" w:eastAsia="微软雅黑"/>
          <w:sz w:val="24"/>
          <w:szCs w:val="24"/>
        </w:rPr>
      </w:pPr>
    </w:p>
    <w:p>
      <w:pPr>
        <w:spacing w:line="360" w:lineRule="auto"/>
        <w:jc w:val="left"/>
        <w:rPr>
          <w:rFonts w:ascii="微软雅黑" w:hAnsi="微软雅黑" w:eastAsia="微软雅黑"/>
          <w:sz w:val="24"/>
          <w:szCs w:val="24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23" w:name="_Toc21977"/>
      <w:bookmarkStart w:id="24" w:name="_Toc20940"/>
      <w:r>
        <w:rPr>
          <w:rFonts w:hint="eastAsia"/>
          <w:lang w:val="en-US" w:eastAsia="zh-CN"/>
        </w:rPr>
        <w:t>1.3 进入数字化管理应用</w:t>
      </w:r>
      <w:bookmarkEnd w:id="23"/>
      <w:bookmarkEnd w:id="24"/>
    </w:p>
    <w:p>
      <w:pPr>
        <w:pStyle w:val="31"/>
        <w:spacing w:line="360" w:lineRule="auto"/>
        <w:ind w:firstLineChars="0"/>
        <w:jc w:val="left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点击门户首页的应用类下的“数字管理”，进入</w:t>
      </w:r>
      <w:r>
        <w:rPr>
          <w:rFonts w:hint="eastAsia" w:ascii="微软雅黑" w:hAnsi="微软雅黑" w:eastAsia="微软雅黑"/>
          <w:sz w:val="24"/>
          <w:szCs w:val="24"/>
        </w:rPr>
        <w:t>湖北中烟工程中心数字化管理应用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系统。</w:t>
      </w:r>
    </w:p>
    <w:p>
      <w:pPr>
        <w:pStyle w:val="31"/>
        <w:spacing w:line="360" w:lineRule="auto"/>
        <w:ind w:left="0" w:leftChars="0" w:firstLine="0" w:firstLineChars="0"/>
        <w:jc w:val="left"/>
      </w:pPr>
      <w:r>
        <w:drawing>
          <wp:inline distT="0" distB="0" distL="114300" distR="114300">
            <wp:extent cx="5270500" cy="3102610"/>
            <wp:effectExtent l="0" t="0" r="2540" b="635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spacing w:line="360" w:lineRule="auto"/>
        <w:ind w:firstLine="0" w:firstLineChars="0"/>
        <w:jc w:val="left"/>
        <w:rPr>
          <w:rFonts w:ascii="微软雅黑" w:hAnsi="微软雅黑" w:eastAsia="微软雅黑"/>
          <w:sz w:val="24"/>
          <w:szCs w:val="24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</w:rPr>
      </w:pPr>
      <w:bookmarkStart w:id="25" w:name="_Toc2742"/>
      <w:bookmarkStart w:id="26" w:name="_Toc31062"/>
      <w:r>
        <w:rPr>
          <w:rFonts w:hint="eastAsia"/>
        </w:rPr>
        <w:t>产品管理</w:t>
      </w:r>
      <w:bookmarkEnd w:id="25"/>
      <w:bookmarkEnd w:id="26"/>
    </w:p>
    <w:p>
      <w:pPr>
        <w:pStyle w:val="31"/>
        <w:spacing w:line="360" w:lineRule="auto"/>
        <w:ind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114300" distR="114300">
            <wp:extent cx="5267960" cy="1735455"/>
            <wp:effectExtent l="0" t="0" r="5080" b="190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spacing w:line="360" w:lineRule="auto"/>
        <w:ind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产品管理分为“加热器具”、“加热卷烟”、“炭加热”、“其它”四个模块，其中点击“炭加热”和“其它”系统会弹出提示“暂未开发，敬请期待”。</w:t>
      </w:r>
    </w:p>
    <w:p>
      <w:pPr>
        <w:pStyle w:val="4"/>
        <w:bidi w:val="0"/>
        <w:outlineLvl w:val="1"/>
        <w:rPr>
          <w:rFonts w:hint="eastAsia"/>
        </w:rPr>
      </w:pPr>
      <w:bookmarkStart w:id="27" w:name="_Toc17416"/>
      <w:bookmarkStart w:id="28" w:name="_Toc23022"/>
      <w:r>
        <w:rPr>
          <w:rFonts w:hint="eastAsia"/>
          <w:lang w:val="en-US" w:eastAsia="zh-CN"/>
        </w:rPr>
        <w:t>2</w:t>
      </w:r>
      <w:r>
        <w:rPr>
          <w:rFonts w:hint="eastAsia"/>
        </w:rPr>
        <w:t>.1 加热器具</w:t>
      </w:r>
      <w:bookmarkEnd w:id="27"/>
      <w:bookmarkEnd w:id="28"/>
    </w:p>
    <w:p>
      <w:pPr>
        <w:spacing w:line="360" w:lineRule="auto"/>
        <w:ind w:firstLine="42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点击“加热器具”，即会进入加热器具管理功能，该功能包含搜索、新增、修改、删除、查看五项功能</w:t>
      </w:r>
    </w:p>
    <w:p>
      <w:pPr>
        <w:pStyle w:val="5"/>
        <w:numPr>
          <w:ilvl w:val="0"/>
          <w:numId w:val="2"/>
        </w:numPr>
        <w:bidi w:val="0"/>
      </w:pPr>
      <w:bookmarkStart w:id="29" w:name="_Toc21877"/>
      <w:bookmarkStart w:id="30" w:name="_Toc19917"/>
      <w:r>
        <w:rPr>
          <w:rFonts w:hint="eastAsia"/>
        </w:rPr>
        <w:t>搜索</w:t>
      </w:r>
      <w:bookmarkEnd w:id="29"/>
      <w:bookmarkEnd w:id="30"/>
    </w:p>
    <w:p>
      <w:pPr>
        <w:spacing w:line="360" w:lineRule="auto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可根据“名称”、“加热方式”、“结构”、“适配烟支”这4个条件进行搜索。点击“导出e</w:t>
      </w:r>
      <w:r>
        <w:rPr>
          <w:rFonts w:ascii="微软雅黑" w:hAnsi="微软雅黑" w:eastAsia="微软雅黑"/>
          <w:sz w:val="24"/>
          <w:szCs w:val="24"/>
        </w:rPr>
        <w:t>xcel</w:t>
      </w:r>
      <w:r>
        <w:rPr>
          <w:rFonts w:hint="eastAsia" w:ascii="微软雅黑" w:hAnsi="微软雅黑" w:eastAsia="微软雅黑"/>
          <w:sz w:val="24"/>
          <w:szCs w:val="24"/>
        </w:rPr>
        <w:t>”按钮可将搜索结果一律采用ex</w:t>
      </w:r>
      <w:r>
        <w:rPr>
          <w:rFonts w:ascii="微软雅黑" w:hAnsi="微软雅黑" w:eastAsia="微软雅黑"/>
          <w:sz w:val="24"/>
          <w:szCs w:val="24"/>
        </w:rPr>
        <w:t>cel</w:t>
      </w:r>
      <w:r>
        <w:rPr>
          <w:rFonts w:hint="eastAsia" w:ascii="微软雅黑" w:hAnsi="微软雅黑" w:eastAsia="微软雅黑"/>
          <w:sz w:val="24"/>
          <w:szCs w:val="24"/>
        </w:rPr>
        <w:t>的格式进行导出。</w:t>
      </w:r>
    </w:p>
    <w:p>
      <w:pPr>
        <w:spacing w:line="360" w:lineRule="auto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8120" cy="197739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列表中包含名称、加热方式、结构、颜色、市场情况、上市日期、适配烟支、产品图片这些内容，点击产品图片可查看产品图片大图。</w:t>
      </w:r>
    </w:p>
    <w:p>
      <w:pPr>
        <w:pStyle w:val="5"/>
        <w:numPr>
          <w:ilvl w:val="0"/>
          <w:numId w:val="2"/>
        </w:numPr>
        <w:bidi w:val="0"/>
        <w:rPr>
          <w:rFonts w:hint="eastAsia"/>
        </w:rPr>
      </w:pPr>
      <w:bookmarkStart w:id="31" w:name="_Toc3278"/>
      <w:bookmarkStart w:id="32" w:name="_Toc27729"/>
      <w:r>
        <w:rPr>
          <w:rFonts w:hint="eastAsia"/>
        </w:rPr>
        <w:t>新增</w:t>
      </w:r>
      <w:bookmarkEnd w:id="31"/>
      <w:bookmarkEnd w:id="32"/>
    </w:p>
    <w:p>
      <w:pPr>
        <w:spacing w:line="360" w:lineRule="auto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在列表页面点击“新增”按钮，即可进入到加热器具新增页面，新增页面包含4块内容，分别为基本信息、产品代码信息、组件及零部件信息、附件。</w:t>
      </w:r>
    </w:p>
    <w:p>
      <w:pPr>
        <w:spacing w:line="360" w:lineRule="auto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8120" cy="27324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8120" cy="19469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8120" cy="12585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8120" cy="15176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numPr>
          <w:ilvl w:val="0"/>
          <w:numId w:val="3"/>
        </w:numPr>
        <w:spacing w:line="360" w:lineRule="auto"/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基本信息：必填字段包含名称、加热方式、结构、颜色、市场情况、适配烟支，其余均为非必填字段，此处建议上传产品图片，便于识别产品；</w:t>
      </w:r>
    </w:p>
    <w:p>
      <w:pPr>
        <w:pStyle w:val="41"/>
        <w:numPr>
          <w:ilvl w:val="0"/>
          <w:numId w:val="3"/>
        </w:numPr>
        <w:spacing w:line="360" w:lineRule="auto"/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产品代码信息：以表格的形式进行多行编辑，每一行的填写内容包括国家、产品代码、类别、烟支规格、颜色，当需要添加多行产品代码信息需点击“添加产品代码”按钮进行添加；</w:t>
      </w:r>
    </w:p>
    <w:p>
      <w:pPr>
        <w:pStyle w:val="41"/>
        <w:numPr>
          <w:ilvl w:val="0"/>
          <w:numId w:val="3"/>
        </w:numPr>
        <w:spacing w:line="360" w:lineRule="auto"/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组件及零部件信息：上传一个相关附件即可</w:t>
      </w:r>
    </w:p>
    <w:p>
      <w:pPr>
        <w:pStyle w:val="41"/>
        <w:numPr>
          <w:ilvl w:val="0"/>
          <w:numId w:val="3"/>
        </w:numPr>
        <w:spacing w:line="360" w:lineRule="auto"/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附件：此处将附件分为使用视频、电子参数文件、其它三类，当点击以上按钮，选择相应的附件即可上传成功，其中使用视频会在演示端进行显示</w:t>
      </w:r>
    </w:p>
    <w:p>
      <w:pPr>
        <w:pStyle w:val="5"/>
        <w:numPr>
          <w:ilvl w:val="0"/>
          <w:numId w:val="2"/>
        </w:numPr>
        <w:bidi w:val="0"/>
        <w:rPr>
          <w:rFonts w:hint="eastAsia"/>
        </w:rPr>
      </w:pPr>
      <w:bookmarkStart w:id="33" w:name="_Toc609"/>
      <w:bookmarkStart w:id="34" w:name="_Toc10050"/>
      <w:r>
        <w:rPr>
          <w:rFonts w:hint="eastAsia"/>
        </w:rPr>
        <w:t>修改</w:t>
      </w:r>
      <w:bookmarkEnd w:id="33"/>
      <w:bookmarkEnd w:id="34"/>
    </w:p>
    <w:p>
      <w:pPr>
        <w:bidi w:val="0"/>
        <w:rPr>
          <w:rFonts w:hint="eastAsia" w:ascii="微软雅黑" w:hAnsi="微软雅黑" w:eastAsia="微软雅黑" w:cs="微软雅黑"/>
          <w:sz w:val="24"/>
          <w:szCs w:val="24"/>
        </w:rPr>
      </w:pPr>
      <w:bookmarkStart w:id="35" w:name="_Toc17044"/>
      <w:bookmarkStart w:id="36" w:name="_Toc5391"/>
      <w:bookmarkStart w:id="37" w:name="_Toc13314"/>
      <w:bookmarkStart w:id="38" w:name="_Toc29162"/>
      <w:r>
        <w:rPr>
          <w:rFonts w:hint="eastAsia" w:ascii="微软雅黑" w:hAnsi="微软雅黑" w:eastAsia="微软雅黑" w:cs="微软雅黑"/>
          <w:sz w:val="24"/>
          <w:szCs w:val="24"/>
        </w:rPr>
        <w:t>点击表格“操作”列的“修改”按钮，即可进入加热器具修改页面</w:t>
      </w:r>
      <w:bookmarkEnd w:id="35"/>
      <w:bookmarkEnd w:id="36"/>
      <w:bookmarkEnd w:id="37"/>
      <w:bookmarkEnd w:id="38"/>
    </w:p>
    <w:p>
      <w:pPr>
        <w:spacing w:line="360" w:lineRule="auto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8120" cy="11893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修改页面也包含4块内容，分别为基本信息、产品代码信息、组件及零部件信息、附件，在这四个内容里可对该条数据进行编辑，具体操作同新增。</w:t>
      </w:r>
    </w:p>
    <w:p>
      <w:pPr>
        <w:pStyle w:val="5"/>
        <w:numPr>
          <w:ilvl w:val="0"/>
          <w:numId w:val="2"/>
        </w:numPr>
        <w:bidi w:val="0"/>
        <w:rPr>
          <w:rFonts w:hint="eastAsia"/>
        </w:rPr>
      </w:pPr>
      <w:bookmarkStart w:id="39" w:name="_Toc13607"/>
      <w:bookmarkStart w:id="40" w:name="_Toc22588"/>
      <w:r>
        <w:rPr>
          <w:rFonts w:hint="eastAsia"/>
        </w:rPr>
        <w:t>删除</w:t>
      </w:r>
      <w:bookmarkEnd w:id="39"/>
      <w:bookmarkEnd w:id="40"/>
    </w:p>
    <w:p>
      <w:pPr>
        <w:spacing w:line="360" w:lineRule="auto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点击表格“操作”列的“删除”按钮，会给一个是否删除的确认弹窗，点击“确认”后即会删除</w:t>
      </w:r>
    </w:p>
    <w:p>
      <w:pPr>
        <w:spacing w:line="360" w:lineRule="auto"/>
        <w:rPr>
          <w:rFonts w:hint="eastAsia"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8120" cy="737235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sz w:val="24"/>
          <w:szCs w:val="24"/>
        </w:rPr>
        <w:t xml:space="preserve"> </w:t>
      </w:r>
    </w:p>
    <w:p>
      <w:pPr>
        <w:pStyle w:val="5"/>
        <w:numPr>
          <w:ilvl w:val="0"/>
          <w:numId w:val="2"/>
        </w:numPr>
        <w:bidi w:val="0"/>
        <w:rPr>
          <w:rFonts w:hint="eastAsia"/>
        </w:rPr>
      </w:pPr>
      <w:bookmarkStart w:id="41" w:name="_Toc28591"/>
      <w:bookmarkStart w:id="42" w:name="_Toc16928"/>
      <w:r>
        <w:rPr>
          <w:rFonts w:hint="eastAsia"/>
        </w:rPr>
        <w:t>查看</w:t>
      </w:r>
      <w:bookmarkEnd w:id="41"/>
      <w:bookmarkEnd w:id="42"/>
      <w:r>
        <w:rPr>
          <w:rFonts w:hint="eastAsia"/>
          <w:lang w:val="en-US" w:eastAsia="zh-CN"/>
        </w:rPr>
        <w:t>详情</w:t>
      </w:r>
    </w:p>
    <w:p>
      <w:pPr>
        <w:spacing w:line="360" w:lineRule="auto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点击表格中每一行的“名称”，即可跳转到加热器具的详情页面</w:t>
      </w:r>
    </w:p>
    <w:p>
      <w:pPr>
        <w:spacing w:line="360" w:lineRule="auto"/>
        <w:rPr>
          <w:rFonts w:hint="eastAsia"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8120" cy="15455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sz w:val="24"/>
          <w:szCs w:val="24"/>
        </w:rPr>
      </w:pPr>
      <w:bookmarkStart w:id="43" w:name="_Toc12939"/>
      <w:bookmarkStart w:id="44" w:name="_Toc12887"/>
      <w:bookmarkStart w:id="45" w:name="_Toc10428"/>
      <w:bookmarkStart w:id="46" w:name="_Toc14648"/>
      <w:r>
        <w:rPr>
          <w:rFonts w:hint="eastAsia" w:ascii="微软雅黑" w:hAnsi="微软雅黑" w:eastAsia="微软雅黑" w:cs="微软雅黑"/>
          <w:sz w:val="24"/>
          <w:szCs w:val="24"/>
        </w:rPr>
        <w:t>在加热器具的详情页面，可以查看加热器具的所有信息</w:t>
      </w:r>
      <w:bookmarkEnd w:id="43"/>
      <w:bookmarkEnd w:id="44"/>
      <w:bookmarkEnd w:id="45"/>
      <w:bookmarkEnd w:id="46"/>
    </w:p>
    <w:p>
      <w:pPr>
        <w:pStyle w:val="31"/>
        <w:spacing w:line="360" w:lineRule="auto"/>
        <w:ind w:firstLine="0" w:firstLineChars="0"/>
        <w:jc w:val="left"/>
        <w:rPr>
          <w:rFonts w:hint="eastAsia"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8120" cy="2681605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spacing w:line="360" w:lineRule="auto"/>
        <w:ind w:firstLine="0" w:firstLineChars="0"/>
        <w:jc w:val="left"/>
        <w:rPr>
          <w:rFonts w:ascii="微软雅黑" w:hAnsi="微软雅黑" w:eastAsia="微软雅黑"/>
          <w:sz w:val="24"/>
          <w:szCs w:val="24"/>
        </w:rPr>
      </w:pPr>
    </w:p>
    <w:p>
      <w:pPr>
        <w:pStyle w:val="4"/>
        <w:bidi w:val="0"/>
        <w:rPr>
          <w:rFonts w:hint="eastAsia"/>
        </w:rPr>
      </w:pPr>
      <w:bookmarkStart w:id="47" w:name="_Toc2802"/>
      <w:bookmarkStart w:id="48" w:name="_Toc3533"/>
      <w:bookmarkStart w:id="49" w:name="_Toc2953"/>
      <w:r>
        <w:rPr>
          <w:rFonts w:hint="eastAsia"/>
          <w:lang w:val="en-US" w:eastAsia="zh-CN"/>
        </w:rPr>
        <w:t>2</w:t>
      </w:r>
      <w:r>
        <w:rPr>
          <w:rFonts w:hint="eastAsia"/>
        </w:rPr>
        <w:t>.2 加热卷烟</w:t>
      </w:r>
      <w:bookmarkEnd w:id="47"/>
      <w:bookmarkEnd w:id="48"/>
      <w:bookmarkEnd w:id="49"/>
    </w:p>
    <w:p>
      <w:pPr>
        <w:spacing w:line="360" w:lineRule="auto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点击“加热卷烟”，即会进入加热卷烟管理功能，该功能包含搜索、新增、修改、删除、查看五项功能</w:t>
      </w:r>
    </w:p>
    <w:p>
      <w:pPr>
        <w:pStyle w:val="5"/>
        <w:numPr>
          <w:ilvl w:val="0"/>
          <w:numId w:val="4"/>
        </w:numPr>
        <w:bidi w:val="0"/>
        <w:rPr>
          <w:rFonts w:hint="eastAsia"/>
        </w:rPr>
      </w:pPr>
      <w:bookmarkStart w:id="50" w:name="_Toc13880"/>
      <w:bookmarkStart w:id="51" w:name="_Toc30135"/>
      <w:bookmarkStart w:id="52" w:name="_Toc10207"/>
      <w:r>
        <w:rPr>
          <w:rFonts w:hint="eastAsia"/>
        </w:rPr>
        <w:t>搜索</w:t>
      </w:r>
      <w:bookmarkEnd w:id="50"/>
      <w:bookmarkEnd w:id="51"/>
      <w:bookmarkEnd w:id="52"/>
    </w:p>
    <w:p>
      <w:pPr>
        <w:spacing w:line="360" w:lineRule="auto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可根据“产品名称”、“产品规格”、“品牌”、“口味”、“上市情况”、这</w:t>
      </w:r>
      <w:r>
        <w:rPr>
          <w:rFonts w:ascii="微软雅黑" w:hAnsi="微软雅黑" w:eastAsia="微软雅黑"/>
          <w:sz w:val="24"/>
          <w:szCs w:val="24"/>
        </w:rPr>
        <w:t>5</w:t>
      </w:r>
      <w:r>
        <w:rPr>
          <w:rFonts w:hint="eastAsia" w:ascii="微软雅黑" w:hAnsi="微软雅黑" w:eastAsia="微软雅黑"/>
          <w:sz w:val="24"/>
          <w:szCs w:val="24"/>
        </w:rPr>
        <w:t>个条件进行搜索。点击“导出e</w:t>
      </w:r>
      <w:r>
        <w:rPr>
          <w:rFonts w:ascii="微软雅黑" w:hAnsi="微软雅黑" w:eastAsia="微软雅黑"/>
          <w:sz w:val="24"/>
          <w:szCs w:val="24"/>
        </w:rPr>
        <w:t>xcel</w:t>
      </w:r>
      <w:r>
        <w:rPr>
          <w:rFonts w:hint="eastAsia" w:ascii="微软雅黑" w:hAnsi="微软雅黑" w:eastAsia="微软雅黑"/>
          <w:sz w:val="24"/>
          <w:szCs w:val="24"/>
        </w:rPr>
        <w:t>”按钮可将搜索结果一律采用ex</w:t>
      </w:r>
      <w:r>
        <w:rPr>
          <w:rFonts w:ascii="微软雅黑" w:hAnsi="微软雅黑" w:eastAsia="微软雅黑"/>
          <w:sz w:val="24"/>
          <w:szCs w:val="24"/>
        </w:rPr>
        <w:t>cel</w:t>
      </w:r>
      <w:r>
        <w:rPr>
          <w:rFonts w:hint="eastAsia" w:ascii="微软雅黑" w:hAnsi="微软雅黑" w:eastAsia="微软雅黑"/>
          <w:sz w:val="24"/>
          <w:szCs w:val="24"/>
        </w:rPr>
        <w:t>的格式进行导出。</w:t>
      </w:r>
    </w:p>
    <w:p>
      <w:pPr>
        <w:spacing w:line="360" w:lineRule="auto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8120" cy="14325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列表中包含产品名称、产品规格、品牌、口味、市场情况、上市情况、产品编码、产品图片这些内容，点击产品图片可查看产品图片大图。</w:t>
      </w:r>
    </w:p>
    <w:p>
      <w:pPr>
        <w:pStyle w:val="5"/>
        <w:numPr>
          <w:ilvl w:val="0"/>
          <w:numId w:val="4"/>
        </w:numPr>
        <w:bidi w:val="0"/>
        <w:rPr>
          <w:rFonts w:hint="eastAsia"/>
        </w:rPr>
      </w:pPr>
      <w:bookmarkStart w:id="53" w:name="_Toc15821"/>
      <w:bookmarkStart w:id="54" w:name="_Toc18091"/>
      <w:bookmarkStart w:id="55" w:name="_Toc30922"/>
      <w:r>
        <w:rPr>
          <w:rFonts w:hint="eastAsia"/>
        </w:rPr>
        <w:t>新增</w:t>
      </w:r>
      <w:bookmarkEnd w:id="53"/>
      <w:bookmarkEnd w:id="54"/>
      <w:bookmarkEnd w:id="55"/>
    </w:p>
    <w:p>
      <w:pPr>
        <w:spacing w:line="360" w:lineRule="auto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在列表页面点击“新增”按钮，即可进入到加热器具新增页面。页面字段包含产品名称、产品规格、品牌、口味、市场情况、上市情况、产品编码、详细参数、产品图片、详细参数附件。其中产品名称、产品规格、品牌、口味、市场情况、上市情况、产品编码为必填字段。</w:t>
      </w:r>
    </w:p>
    <w:p>
      <w:pPr>
        <w:pStyle w:val="5"/>
        <w:numPr>
          <w:ilvl w:val="0"/>
          <w:numId w:val="4"/>
        </w:numPr>
        <w:bidi w:val="0"/>
        <w:rPr>
          <w:rFonts w:hint="eastAsia"/>
        </w:rPr>
      </w:pPr>
      <w:bookmarkStart w:id="56" w:name="_Toc31540"/>
      <w:bookmarkStart w:id="57" w:name="_Toc6263"/>
      <w:bookmarkStart w:id="58" w:name="_Toc19838"/>
      <w:r>
        <w:rPr>
          <w:rFonts w:hint="eastAsia"/>
        </w:rPr>
        <w:t>修改</w:t>
      </w:r>
      <w:bookmarkEnd w:id="56"/>
      <w:bookmarkEnd w:id="57"/>
      <w:bookmarkEnd w:id="58"/>
    </w:p>
    <w:p>
      <w:pPr>
        <w:spacing w:line="360" w:lineRule="auto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点击表格“操作”列的“修改”按钮，即可进入加热卷烟修改页面</w:t>
      </w:r>
    </w:p>
    <w:p>
      <w:pPr>
        <w:spacing w:line="360" w:lineRule="auto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8120" cy="2182495"/>
            <wp:effectExtent l="0" t="0" r="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微软雅黑" w:hAnsi="微软雅黑" w:eastAsia="微软雅黑"/>
          <w:sz w:val="24"/>
          <w:szCs w:val="24"/>
        </w:rPr>
      </w:pPr>
    </w:p>
    <w:p>
      <w:pPr>
        <w:pStyle w:val="5"/>
        <w:numPr>
          <w:ilvl w:val="0"/>
          <w:numId w:val="4"/>
        </w:numPr>
        <w:bidi w:val="0"/>
        <w:rPr>
          <w:rFonts w:hint="eastAsia"/>
        </w:rPr>
      </w:pPr>
      <w:bookmarkStart w:id="59" w:name="_Toc11216"/>
      <w:bookmarkStart w:id="60" w:name="_Toc8106"/>
      <w:bookmarkStart w:id="61" w:name="_Toc28749"/>
      <w:r>
        <w:rPr>
          <w:rFonts w:hint="eastAsia"/>
        </w:rPr>
        <w:t>删除</w:t>
      </w:r>
      <w:bookmarkEnd w:id="59"/>
      <w:bookmarkEnd w:id="60"/>
      <w:bookmarkEnd w:id="61"/>
    </w:p>
    <w:p>
      <w:pPr>
        <w:spacing w:line="360" w:lineRule="auto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点击表格“操作”列的“删除”按钮，会给一个是否删除的确认弹窗，点击“确认”后即会删除</w:t>
      </w:r>
    </w:p>
    <w:p>
      <w:pPr>
        <w:spacing w:line="360" w:lineRule="auto"/>
        <w:rPr>
          <w:rFonts w:hint="eastAsia"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8120" cy="14478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sz w:val="24"/>
          <w:szCs w:val="24"/>
        </w:rPr>
        <w:t xml:space="preserve"> </w:t>
      </w:r>
    </w:p>
    <w:p>
      <w:pPr>
        <w:pStyle w:val="5"/>
        <w:numPr>
          <w:ilvl w:val="0"/>
          <w:numId w:val="4"/>
        </w:numPr>
        <w:bidi w:val="0"/>
        <w:rPr>
          <w:rFonts w:hint="eastAsia"/>
        </w:rPr>
      </w:pPr>
      <w:bookmarkStart w:id="62" w:name="_Toc685"/>
      <w:bookmarkStart w:id="63" w:name="_Toc19865"/>
      <w:bookmarkStart w:id="64" w:name="_Toc4985"/>
      <w:r>
        <w:rPr>
          <w:rFonts w:hint="eastAsia"/>
        </w:rPr>
        <w:t>查看</w:t>
      </w:r>
      <w:bookmarkEnd w:id="62"/>
      <w:bookmarkEnd w:id="63"/>
      <w:bookmarkEnd w:id="64"/>
      <w:r>
        <w:rPr>
          <w:rFonts w:hint="eastAsia"/>
          <w:lang w:val="en-US" w:eastAsia="zh-CN"/>
        </w:rPr>
        <w:t>详情</w:t>
      </w:r>
    </w:p>
    <w:p>
      <w:pPr>
        <w:spacing w:line="360" w:lineRule="auto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点击表格中每一行的“名称”，即可跳转到加热卷烟的详情页面</w:t>
      </w:r>
    </w:p>
    <w:p>
      <w:pPr>
        <w:spacing w:line="360" w:lineRule="auto"/>
        <w:rPr>
          <w:rFonts w:hint="eastAsia"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8120" cy="1464310"/>
            <wp:effectExtent l="0" t="0" r="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spacing w:line="360" w:lineRule="auto"/>
        <w:ind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在加热卷烟的详情页面，可以查看加热卷烟的所有信息</w:t>
      </w:r>
    </w:p>
    <w:p>
      <w:pPr>
        <w:pStyle w:val="31"/>
        <w:spacing w:line="360" w:lineRule="auto"/>
        <w:ind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8120" cy="206311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spacing w:line="360" w:lineRule="auto"/>
        <w:ind w:firstLine="0" w:firstLineChars="0"/>
        <w:jc w:val="left"/>
        <w:rPr>
          <w:rFonts w:ascii="微软雅黑" w:hAnsi="微软雅黑" w:eastAsia="微软雅黑"/>
          <w:sz w:val="24"/>
          <w:szCs w:val="24"/>
        </w:rPr>
      </w:pPr>
    </w:p>
    <w:p>
      <w:pPr>
        <w:pStyle w:val="31"/>
        <w:spacing w:line="360" w:lineRule="auto"/>
        <w:ind w:firstLine="0" w:firstLineChars="0"/>
        <w:jc w:val="left"/>
        <w:rPr>
          <w:rFonts w:ascii="微软雅黑" w:hAnsi="微软雅黑" w:eastAsia="微软雅黑"/>
          <w:sz w:val="24"/>
          <w:szCs w:val="24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 xml:space="preserve"> </w:t>
      </w:r>
      <w:bookmarkStart w:id="65" w:name="_Toc22150"/>
      <w:bookmarkStart w:id="66" w:name="_Toc910"/>
      <w:r>
        <w:rPr>
          <w:rFonts w:hint="eastAsia"/>
        </w:rPr>
        <w:t>标准制度管理</w:t>
      </w:r>
      <w:bookmarkEnd w:id="65"/>
      <w:bookmarkEnd w:id="66"/>
    </w:p>
    <w:p>
      <w:pPr>
        <w:pStyle w:val="31"/>
        <w:spacing w:line="360" w:lineRule="auto"/>
        <w:ind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从菜单点击“标准制度管理”，即会进入标准制度管理功能，该功能包含搜索、新增、修改、修订、删除、查看六项功能</w:t>
      </w:r>
    </w:p>
    <w:p>
      <w:pPr>
        <w:pStyle w:val="5"/>
        <w:numPr>
          <w:ilvl w:val="0"/>
          <w:numId w:val="5"/>
        </w:numPr>
        <w:bidi w:val="0"/>
        <w:rPr>
          <w:rFonts w:hint="eastAsia"/>
        </w:rPr>
      </w:pPr>
      <w:bookmarkStart w:id="67" w:name="_Toc5501"/>
      <w:bookmarkStart w:id="68" w:name="_Toc22926"/>
      <w:r>
        <w:rPr>
          <w:rFonts w:hint="eastAsia"/>
        </w:rPr>
        <w:t>搜索</w:t>
      </w:r>
      <w:bookmarkEnd w:id="67"/>
      <w:bookmarkEnd w:id="68"/>
    </w:p>
    <w:p>
      <w:pPr>
        <w:pStyle w:val="31"/>
        <w:spacing w:line="360" w:lineRule="auto"/>
        <w:ind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可根据“标准名称”、“标准类型”、“标准起草人”，这</w:t>
      </w:r>
      <w:r>
        <w:rPr>
          <w:rFonts w:ascii="微软雅黑" w:hAnsi="微软雅黑" w:eastAsia="微软雅黑"/>
          <w:sz w:val="24"/>
          <w:szCs w:val="24"/>
        </w:rPr>
        <w:t>3个条件进行搜索。点击“导出excel”按钮可将搜索结果一律采用excel的格式进行导出。</w:t>
      </w:r>
    </w:p>
    <w:p>
      <w:pPr>
        <w:pStyle w:val="31"/>
        <w:spacing w:line="360" w:lineRule="auto"/>
        <w:ind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8120" cy="2361565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spacing w:line="360" w:lineRule="auto"/>
        <w:ind w:firstLine="0" w:firstLineChars="0"/>
        <w:jc w:val="left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列表中包含名称、标准类型、编号、实施时间、标准起草人这些内容。</w:t>
      </w:r>
    </w:p>
    <w:p>
      <w:pPr>
        <w:pStyle w:val="5"/>
        <w:numPr>
          <w:ilvl w:val="0"/>
          <w:numId w:val="5"/>
        </w:numPr>
        <w:bidi w:val="0"/>
        <w:rPr>
          <w:rFonts w:hint="eastAsia"/>
        </w:rPr>
      </w:pPr>
      <w:bookmarkStart w:id="69" w:name="_Toc21907"/>
      <w:bookmarkStart w:id="70" w:name="_Toc21120"/>
      <w:r>
        <w:rPr>
          <w:rFonts w:hint="eastAsia"/>
        </w:rPr>
        <w:t>新增</w:t>
      </w:r>
      <w:bookmarkEnd w:id="69"/>
      <w:bookmarkEnd w:id="70"/>
    </w:p>
    <w:p>
      <w:pPr>
        <w:spacing w:line="360" w:lineRule="auto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在列表页面点击“新增”按钮，即可进入到标准新增页面。页面字段包含标准名称、标准类型、编号、标准起草人、实施时间、摘要、备注、资料是否完成、附件。其中必填字段包含标准名称、标准类型、编号、标准起草人、实施时间、资料是否完整，其余是非必填字段。</w:t>
      </w:r>
    </w:p>
    <w:p>
      <w:pPr>
        <w:spacing w:line="360" w:lineRule="auto"/>
        <w:rPr>
          <w:rFonts w:hint="eastAsia"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8120" cy="2697480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当选择产品标准，还可管理产品以及选择包含资料。</w:t>
      </w:r>
    </w:p>
    <w:p>
      <w:pPr>
        <w:spacing w:line="360" w:lineRule="auto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公司制度数据取自中烟标准平台，在该功能中无法新增、修改、删除。</w:t>
      </w:r>
    </w:p>
    <w:p>
      <w:pPr>
        <w:pStyle w:val="5"/>
        <w:numPr>
          <w:ilvl w:val="0"/>
          <w:numId w:val="5"/>
        </w:numPr>
        <w:bidi w:val="0"/>
        <w:rPr>
          <w:rFonts w:hint="eastAsia"/>
        </w:rPr>
      </w:pPr>
      <w:bookmarkStart w:id="71" w:name="_Toc16339"/>
      <w:bookmarkStart w:id="72" w:name="_Toc28103"/>
      <w:r>
        <w:rPr>
          <w:rFonts w:hint="eastAsia"/>
        </w:rPr>
        <w:t>修改</w:t>
      </w:r>
      <w:bookmarkEnd w:id="71"/>
      <w:bookmarkEnd w:id="72"/>
    </w:p>
    <w:p>
      <w:pPr>
        <w:spacing w:line="360" w:lineRule="auto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点击表格“操作”列的“维护”按钮，即可进入标准修改页面</w:t>
      </w:r>
    </w:p>
    <w:p>
      <w:pPr>
        <w:spacing w:line="360" w:lineRule="auto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8120" cy="24003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spacing w:line="360" w:lineRule="auto"/>
        <w:ind w:firstLine="0" w:firstLineChars="0"/>
        <w:jc w:val="left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修改页面具体操作同新增，但其中标准类型无法修改。</w:t>
      </w:r>
    </w:p>
    <w:p>
      <w:pPr>
        <w:pStyle w:val="5"/>
        <w:numPr>
          <w:ilvl w:val="0"/>
          <w:numId w:val="5"/>
        </w:numPr>
        <w:bidi w:val="0"/>
        <w:rPr>
          <w:rFonts w:hint="eastAsia"/>
        </w:rPr>
      </w:pPr>
      <w:bookmarkStart w:id="73" w:name="_Toc23867"/>
      <w:bookmarkStart w:id="74" w:name="_Toc25802"/>
      <w:r>
        <w:rPr>
          <w:rFonts w:hint="eastAsia"/>
        </w:rPr>
        <w:t>修订</w:t>
      </w:r>
      <w:bookmarkEnd w:id="73"/>
      <w:bookmarkEnd w:id="74"/>
    </w:p>
    <w:p>
      <w:pPr>
        <w:spacing w:line="360" w:lineRule="auto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点击表格“操作”列的“维护”按钮，即可进入标准修改页面</w:t>
      </w:r>
    </w:p>
    <w:p>
      <w:pPr>
        <w:spacing w:line="360" w:lineRule="auto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8120" cy="24003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修改页面具体操作同新增，最后点击“修订”按钮，此时会把标准的版本号加1，并生成历史版本标准记录。</w:t>
      </w:r>
    </w:p>
    <w:p>
      <w:pPr>
        <w:spacing w:line="360" w:lineRule="auto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具体查看方式在标准列表页面，点击“查看修订记录”，会通过弹窗加列表的形式展现标准的历史版本，以及修订时间和修订人。</w:t>
      </w:r>
    </w:p>
    <w:p>
      <w:pPr>
        <w:spacing w:line="360" w:lineRule="auto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8120" cy="114554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8120" cy="1058545"/>
            <wp:effectExtent l="0" t="0" r="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5"/>
        </w:numPr>
        <w:bidi w:val="0"/>
        <w:rPr>
          <w:rFonts w:hint="eastAsia"/>
        </w:rPr>
      </w:pPr>
      <w:bookmarkStart w:id="75" w:name="_Toc7551"/>
      <w:bookmarkStart w:id="76" w:name="_Toc21415"/>
      <w:r>
        <w:rPr>
          <w:rFonts w:hint="eastAsia"/>
        </w:rPr>
        <w:t>删除</w:t>
      </w:r>
      <w:bookmarkEnd w:id="75"/>
      <w:bookmarkEnd w:id="76"/>
    </w:p>
    <w:p>
      <w:pPr>
        <w:spacing w:line="360" w:lineRule="auto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点击表格“操作”列的“删除”按钮，会给一个是否删除的确认弹窗，点击“确认”后即会删除</w:t>
      </w:r>
    </w:p>
    <w:p>
      <w:pPr>
        <w:pStyle w:val="31"/>
        <w:spacing w:line="360" w:lineRule="auto"/>
        <w:ind w:firstLine="0" w:firstLineChars="0"/>
        <w:jc w:val="left"/>
        <w:rPr>
          <w:rFonts w:hint="eastAsia"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8120" cy="1237615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5"/>
        </w:numPr>
        <w:bidi w:val="0"/>
        <w:rPr>
          <w:rFonts w:hint="eastAsia"/>
        </w:rPr>
      </w:pPr>
      <w:bookmarkStart w:id="77" w:name="_Toc16401"/>
      <w:bookmarkStart w:id="78" w:name="_Toc19564"/>
      <w:r>
        <w:rPr>
          <w:rFonts w:hint="eastAsia"/>
        </w:rPr>
        <w:t>查看</w:t>
      </w:r>
      <w:bookmarkEnd w:id="77"/>
      <w:bookmarkEnd w:id="78"/>
    </w:p>
    <w:p>
      <w:pPr>
        <w:pStyle w:val="31"/>
        <w:spacing w:line="360" w:lineRule="auto"/>
        <w:ind w:firstLine="0" w:firstLineChars="0"/>
        <w:jc w:val="left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点击表格中每一行的“标准名称”，即可跳转到标准的详情页面</w:t>
      </w:r>
    </w:p>
    <w:p>
      <w:pPr>
        <w:pStyle w:val="31"/>
        <w:spacing w:line="360" w:lineRule="auto"/>
        <w:ind w:firstLine="0" w:firstLineChars="0"/>
        <w:jc w:val="left"/>
        <w:rPr>
          <w:rFonts w:hint="eastAsia"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8120" cy="164719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spacing w:line="360" w:lineRule="auto"/>
        <w:ind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在标准的详情页面，可以查看标准的所有信息</w:t>
      </w:r>
    </w:p>
    <w:p>
      <w:pPr>
        <w:pStyle w:val="31"/>
        <w:spacing w:line="360" w:lineRule="auto"/>
        <w:ind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8120" cy="147383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spacing w:line="360" w:lineRule="auto"/>
        <w:ind w:firstLine="0" w:firstLineChars="0"/>
        <w:jc w:val="left"/>
        <w:rPr>
          <w:rFonts w:hint="eastAsia" w:ascii="微软雅黑" w:hAnsi="微软雅黑" w:eastAsia="微软雅黑"/>
          <w:sz w:val="24"/>
          <w:szCs w:val="24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 xml:space="preserve"> </w:t>
      </w:r>
      <w:bookmarkStart w:id="79" w:name="_Toc29122"/>
      <w:bookmarkStart w:id="80" w:name="_Toc1255"/>
      <w:r>
        <w:rPr>
          <w:rFonts w:hint="eastAsia"/>
        </w:rPr>
        <w:t>首页内容管理</w:t>
      </w:r>
      <w:bookmarkEnd w:id="79"/>
      <w:bookmarkEnd w:id="80"/>
    </w:p>
    <w:p>
      <w:pPr>
        <w:pStyle w:val="31"/>
        <w:spacing w:line="360" w:lineRule="auto"/>
        <w:ind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从菜单点击“首页内容管理”，即会进入首页内容管理功能，该功能是对门户端的展示进行维护</w:t>
      </w:r>
    </w:p>
    <w:p>
      <w:pPr>
        <w:pStyle w:val="4"/>
        <w:bidi w:val="0"/>
        <w:outlineLvl w:val="1"/>
        <w:rPr>
          <w:rFonts w:hint="eastAsia"/>
        </w:rPr>
      </w:pPr>
      <w:bookmarkStart w:id="81" w:name="_Toc3683"/>
      <w:bookmarkStart w:id="82" w:name="_Toc21005"/>
      <w:r>
        <w:rPr>
          <w:rFonts w:hint="eastAsia"/>
          <w:lang w:val="en-US" w:eastAsia="zh-CN"/>
        </w:rPr>
        <w:t xml:space="preserve">4.1 </w:t>
      </w:r>
      <w:r>
        <w:rPr>
          <w:rFonts w:hint="eastAsia"/>
        </w:rPr>
        <w:t>门户端</w:t>
      </w:r>
      <w:bookmarkEnd w:id="81"/>
      <w:bookmarkEnd w:id="82"/>
    </w:p>
    <w:p>
      <w:pPr>
        <w:spacing w:line="360" w:lineRule="auto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门户端分为首页、产品、标准制度、部门介绍4个部门</w:t>
      </w:r>
    </w:p>
    <w:p>
      <w:pPr>
        <w:pStyle w:val="41"/>
        <w:numPr>
          <w:ilvl w:val="0"/>
          <w:numId w:val="6"/>
        </w:numPr>
        <w:spacing w:line="360" w:lineRule="auto"/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首页</w:t>
      </w:r>
    </w:p>
    <w:p>
      <w:pPr>
        <w:spacing w:line="360" w:lineRule="auto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从上到下，分别是b</w:t>
      </w:r>
      <w:r>
        <w:rPr>
          <w:rFonts w:ascii="微软雅黑" w:hAnsi="微软雅黑" w:eastAsia="微软雅黑"/>
          <w:sz w:val="24"/>
          <w:szCs w:val="24"/>
        </w:rPr>
        <w:t>anner</w:t>
      </w:r>
      <w:r>
        <w:rPr>
          <w:rFonts w:hint="eastAsia" w:ascii="微软雅黑" w:hAnsi="微软雅黑" w:eastAsia="微软雅黑"/>
          <w:sz w:val="24"/>
          <w:szCs w:val="24"/>
        </w:rPr>
        <w:t>、关于我们、产品中心、标准制度、人员中心</w:t>
      </w:r>
    </w:p>
    <w:p>
      <w:pPr>
        <w:pStyle w:val="41"/>
        <w:numPr>
          <w:ilvl w:val="0"/>
          <w:numId w:val="6"/>
        </w:numPr>
        <w:spacing w:line="360" w:lineRule="auto"/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产品</w:t>
      </w:r>
    </w:p>
    <w:p>
      <w:pPr>
        <w:spacing w:line="360" w:lineRule="auto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以加热器具和加热卷烟为选项，采用列表的形式展现所有产品信息，点击每一栏可跳转到产品详情页面进行查看。</w:t>
      </w:r>
    </w:p>
    <w:p>
      <w:pPr>
        <w:pStyle w:val="41"/>
        <w:numPr>
          <w:ilvl w:val="0"/>
          <w:numId w:val="6"/>
        </w:numPr>
        <w:spacing w:line="360" w:lineRule="auto"/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标准制度</w:t>
      </w:r>
    </w:p>
    <w:p>
      <w:pPr>
        <w:spacing w:line="360" w:lineRule="auto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以全部、公司制度、内容管理、产品标准、检测标准、工艺标准、物料标准、通用基础标准为选项，采用列表的形式展现所有标准信息，点击每一栏可查看标准正文。</w:t>
      </w:r>
    </w:p>
    <w:p>
      <w:pPr>
        <w:pStyle w:val="41"/>
        <w:numPr>
          <w:ilvl w:val="0"/>
          <w:numId w:val="6"/>
        </w:numPr>
        <w:spacing w:line="360" w:lineRule="auto"/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部门介绍</w:t>
      </w:r>
    </w:p>
    <w:p>
      <w:pPr>
        <w:spacing w:line="360" w:lineRule="auto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以长图片的形式展现介绍内容</w:t>
      </w:r>
    </w:p>
    <w:p>
      <w:pPr>
        <w:pStyle w:val="4"/>
        <w:bidi w:val="0"/>
        <w:outlineLvl w:val="1"/>
        <w:rPr>
          <w:rFonts w:hint="eastAsia"/>
        </w:rPr>
      </w:pPr>
      <w:bookmarkStart w:id="83" w:name="_Toc645"/>
      <w:bookmarkStart w:id="84" w:name="_Toc4375"/>
      <w:r>
        <w:rPr>
          <w:rFonts w:hint="eastAsia"/>
          <w:lang w:val="en-US" w:eastAsia="zh-CN"/>
        </w:rPr>
        <w:t xml:space="preserve">4.2 </w:t>
      </w:r>
      <w:r>
        <w:rPr>
          <w:rFonts w:hint="eastAsia"/>
        </w:rPr>
        <w:t>内容管理</w:t>
      </w:r>
      <w:bookmarkEnd w:id="83"/>
      <w:bookmarkEnd w:id="84"/>
    </w:p>
    <w:p>
      <w:pPr>
        <w:pStyle w:val="41"/>
        <w:spacing w:line="360" w:lineRule="auto"/>
        <w:ind w:firstLine="48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内容管理分四块，分别为Banner、关于我们、产品中心、部门介绍</w:t>
      </w:r>
    </w:p>
    <w:p>
      <w:pPr>
        <w:pStyle w:val="41"/>
        <w:numPr>
          <w:ilvl w:val="0"/>
          <w:numId w:val="6"/>
        </w:numPr>
        <w:spacing w:line="360" w:lineRule="auto"/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Banner</w:t>
      </w:r>
    </w:p>
    <w:p>
      <w:pPr>
        <w:spacing w:line="360" w:lineRule="auto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此处为上传图片，可以上传多个图，对应门户端首页顶部的b</w:t>
      </w:r>
      <w:r>
        <w:rPr>
          <w:rFonts w:ascii="微软雅黑" w:hAnsi="微软雅黑" w:eastAsia="微软雅黑"/>
          <w:sz w:val="24"/>
          <w:szCs w:val="24"/>
        </w:rPr>
        <w:t>anner</w:t>
      </w:r>
      <w:r>
        <w:rPr>
          <w:rFonts w:hint="eastAsia" w:ascii="微软雅黑" w:hAnsi="微软雅黑" w:eastAsia="微软雅黑"/>
          <w:sz w:val="24"/>
          <w:szCs w:val="24"/>
        </w:rPr>
        <w:t>轮播图</w:t>
      </w:r>
    </w:p>
    <w:p>
      <w:pPr>
        <w:spacing w:line="360" w:lineRule="auto"/>
        <w:rPr>
          <w:rFonts w:hint="eastAsia"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8120" cy="1179830"/>
            <wp:effectExtent l="0" t="0" r="10160" b="889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numPr>
          <w:ilvl w:val="0"/>
          <w:numId w:val="6"/>
        </w:numPr>
        <w:spacing w:line="360" w:lineRule="auto"/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关于我们</w:t>
      </w:r>
    </w:p>
    <w:p>
      <w:pPr>
        <w:spacing w:line="360" w:lineRule="auto"/>
        <w:rPr>
          <w:rFonts w:ascii="微软雅黑" w:hAnsi="微软雅黑" w:eastAsia="微软雅黑" w:cs="Segoe UI"/>
          <w:spacing w:val="30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/>
          <w:sz w:val="24"/>
          <w:szCs w:val="24"/>
        </w:rPr>
        <w:t>此处可以维护关于我们的文字，以及头图（此处只能上传一张图片），以及</w:t>
      </w:r>
      <w:r>
        <w:rPr>
          <w:rFonts w:ascii="微软雅黑" w:hAnsi="微软雅黑" w:eastAsia="微软雅黑" w:cs="Segoe UI"/>
          <w:spacing w:val="30"/>
          <w:sz w:val="24"/>
          <w:szCs w:val="24"/>
          <w:shd w:val="clear" w:color="auto" w:fill="FFFFFF"/>
        </w:rPr>
        <w:t>专利总数</w:t>
      </w:r>
      <w:r>
        <w:rPr>
          <w:rFonts w:hint="eastAsia" w:ascii="微软雅黑" w:hAnsi="微软雅黑" w:eastAsia="微软雅黑" w:cs="Segoe UI"/>
          <w:spacing w:val="30"/>
          <w:sz w:val="24"/>
          <w:szCs w:val="24"/>
          <w:shd w:val="clear" w:color="auto" w:fill="FFFFFF"/>
        </w:rPr>
        <w:t>、</w:t>
      </w:r>
      <w:r>
        <w:rPr>
          <w:rFonts w:ascii="微软雅黑" w:hAnsi="微软雅黑" w:eastAsia="微软雅黑" w:cs="Segoe UI"/>
          <w:spacing w:val="30"/>
          <w:sz w:val="24"/>
          <w:szCs w:val="24"/>
          <w:shd w:val="clear" w:color="auto" w:fill="FFFFFF"/>
        </w:rPr>
        <w:t>PCT专利个数</w:t>
      </w:r>
      <w:r>
        <w:rPr>
          <w:rFonts w:hint="eastAsia" w:ascii="微软雅黑" w:hAnsi="微软雅黑" w:eastAsia="微软雅黑" w:cs="Segoe UI"/>
          <w:spacing w:val="30"/>
          <w:sz w:val="24"/>
          <w:szCs w:val="24"/>
          <w:shd w:val="clear" w:color="auto" w:fill="FFFFFF"/>
        </w:rPr>
        <w:t>、发明专利个数、</w:t>
      </w:r>
      <w:r>
        <w:rPr>
          <w:rFonts w:ascii="微软雅黑" w:hAnsi="微软雅黑" w:eastAsia="微软雅黑" w:cs="Segoe UI"/>
          <w:spacing w:val="30"/>
          <w:sz w:val="24"/>
          <w:szCs w:val="24"/>
          <w:shd w:val="clear" w:color="auto" w:fill="FFFFFF"/>
        </w:rPr>
        <w:t>论文个数</w:t>
      </w:r>
    </w:p>
    <w:p>
      <w:pPr>
        <w:spacing w:line="360" w:lineRule="auto"/>
        <w:rPr>
          <w:rFonts w:hint="eastAsia"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8120" cy="1762125"/>
            <wp:effectExtent l="0" t="0" r="1016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numPr>
          <w:ilvl w:val="0"/>
          <w:numId w:val="6"/>
        </w:numPr>
        <w:spacing w:line="360" w:lineRule="auto"/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产品中心</w:t>
      </w:r>
    </w:p>
    <w:p>
      <w:pPr>
        <w:spacing w:line="360" w:lineRule="auto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此处选择烟具和卷烟产品，用于显示在门户端首页的产品中心中，会以横向滚动的形式展现</w:t>
      </w:r>
    </w:p>
    <w:p>
      <w:pPr>
        <w:spacing w:line="360" w:lineRule="auto"/>
        <w:rPr>
          <w:rFonts w:hint="eastAsia"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8120" cy="2380615"/>
            <wp:effectExtent l="0" t="0" r="10160" b="1206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numPr>
          <w:ilvl w:val="0"/>
          <w:numId w:val="6"/>
        </w:numPr>
        <w:spacing w:line="360" w:lineRule="auto"/>
        <w:ind w:firstLineChars="0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部门介绍</w:t>
      </w:r>
    </w:p>
    <w:p>
      <w:pPr>
        <w:spacing w:line="360" w:lineRule="auto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此处为上传图片，可以上传多个图，对应门户端部门介绍那一块</w:t>
      </w:r>
    </w:p>
    <w:p>
      <w:pPr>
        <w:pStyle w:val="31"/>
        <w:spacing w:line="360" w:lineRule="auto"/>
        <w:ind w:firstLine="0" w:firstLineChars="0"/>
        <w:jc w:val="left"/>
        <w:rPr>
          <w:rFonts w:hint="eastAsia" w:ascii="微软雅黑" w:hAnsi="微软雅黑" w:eastAsia="微软雅黑"/>
          <w:sz w:val="24"/>
          <w:szCs w:val="24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 xml:space="preserve"> </w:t>
      </w:r>
      <w:bookmarkStart w:id="85" w:name="_Toc10438"/>
      <w:bookmarkStart w:id="86" w:name="_Toc17331"/>
      <w:r>
        <w:rPr>
          <w:rFonts w:hint="eastAsia"/>
        </w:rPr>
        <w:t>人员信息管理</w:t>
      </w:r>
      <w:bookmarkEnd w:id="85"/>
      <w:bookmarkEnd w:id="86"/>
    </w:p>
    <w:p>
      <w:pPr>
        <w:pStyle w:val="31"/>
        <w:spacing w:line="360" w:lineRule="auto"/>
        <w:ind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从菜单点击“人员信息管理”，即会进入人员信息管理功能，该功能包含搜索、维护、查看、统计、查看四项功能</w:t>
      </w:r>
    </w:p>
    <w:p>
      <w:pPr>
        <w:pStyle w:val="5"/>
        <w:numPr>
          <w:ilvl w:val="0"/>
          <w:numId w:val="7"/>
        </w:numPr>
        <w:bidi w:val="0"/>
        <w:rPr>
          <w:rFonts w:hint="eastAsia"/>
        </w:rPr>
      </w:pPr>
      <w:bookmarkStart w:id="87" w:name="_Toc29481"/>
      <w:bookmarkStart w:id="88" w:name="_Toc19444"/>
      <w:r>
        <w:rPr>
          <w:rFonts w:hint="eastAsia"/>
        </w:rPr>
        <w:t>搜索</w:t>
      </w:r>
      <w:bookmarkEnd w:id="87"/>
      <w:bookmarkEnd w:id="88"/>
    </w:p>
    <w:p>
      <w:pPr>
        <w:pStyle w:val="31"/>
        <w:spacing w:line="360" w:lineRule="auto"/>
        <w:ind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可根据“姓名”、“工号”、“政治面貌”、“学历”、“专业大类”、“技术职称”，这</w:t>
      </w:r>
      <w:r>
        <w:rPr>
          <w:rFonts w:ascii="微软雅黑" w:hAnsi="微软雅黑" w:eastAsia="微软雅黑"/>
          <w:sz w:val="24"/>
          <w:szCs w:val="24"/>
        </w:rPr>
        <w:t>6个条件进行搜索。点击“导出excel”按钮可将搜索结果一律采用excel的格式进行导出。</w:t>
      </w:r>
    </w:p>
    <w:p>
      <w:pPr>
        <w:pStyle w:val="31"/>
        <w:spacing w:line="360" w:lineRule="auto"/>
        <w:ind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8120" cy="2361565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spacing w:line="360" w:lineRule="auto"/>
        <w:ind w:firstLine="0" w:firstLineChars="0"/>
        <w:jc w:val="left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列表中包含姓名、身份证号、入职时间、年龄、政治面貌、毕业学校、学历、专业、技术职称、电话号码这些内容。</w:t>
      </w:r>
    </w:p>
    <w:p>
      <w:pPr>
        <w:pStyle w:val="5"/>
        <w:numPr>
          <w:ilvl w:val="0"/>
          <w:numId w:val="7"/>
        </w:numPr>
        <w:bidi w:val="0"/>
        <w:rPr>
          <w:rFonts w:hint="eastAsia"/>
        </w:rPr>
      </w:pPr>
      <w:bookmarkStart w:id="89" w:name="_Toc10696"/>
      <w:bookmarkStart w:id="90" w:name="_Toc26774"/>
      <w:r>
        <w:rPr>
          <w:rFonts w:hint="eastAsia"/>
        </w:rPr>
        <w:t>维护</w:t>
      </w:r>
      <w:bookmarkEnd w:id="89"/>
      <w:bookmarkEnd w:id="90"/>
    </w:p>
    <w:p>
      <w:pPr>
        <w:bidi w:val="0"/>
        <w:rPr>
          <w:rFonts w:hint="eastAsia" w:ascii="微软雅黑" w:hAnsi="微软雅黑" w:eastAsia="微软雅黑" w:cs="微软雅黑"/>
          <w:sz w:val="24"/>
          <w:szCs w:val="24"/>
        </w:rPr>
      </w:pPr>
      <w:bookmarkStart w:id="91" w:name="_Toc24225"/>
      <w:bookmarkStart w:id="92" w:name="_Toc13130"/>
      <w:bookmarkStart w:id="93" w:name="_Toc12239"/>
      <w:r>
        <w:rPr>
          <w:rFonts w:hint="eastAsia" w:ascii="微软雅黑" w:hAnsi="微软雅黑" w:eastAsia="微软雅黑" w:cs="微软雅黑"/>
          <w:sz w:val="24"/>
          <w:szCs w:val="24"/>
        </w:rPr>
        <w:t>点击表格“操作”列的“维护”按钮，即可进入人员维护页面</w:t>
      </w:r>
      <w:bookmarkEnd w:id="91"/>
      <w:bookmarkEnd w:id="92"/>
      <w:bookmarkEnd w:id="93"/>
    </w:p>
    <w:p>
      <w:pPr>
        <w:spacing w:line="360" w:lineRule="auto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8120" cy="2570480"/>
            <wp:effectExtent l="0" t="0" r="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spacing w:line="360" w:lineRule="auto"/>
        <w:ind w:firstLine="0" w:firstLineChars="0"/>
        <w:jc w:val="left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维护页面分人员基本信息和人员扩展信息维护两块，其中人员基本信息数据取自中烟人员主档，人员扩展信息包括入职时间、政治面貌、毕业学校、学历、专业大类、专业小类、技术职称、工作类型、是否为借调人员，这些字段均为非必填字段</w:t>
      </w:r>
    </w:p>
    <w:p>
      <w:pPr>
        <w:pStyle w:val="5"/>
        <w:numPr>
          <w:ilvl w:val="0"/>
          <w:numId w:val="7"/>
        </w:numPr>
        <w:bidi w:val="0"/>
        <w:rPr>
          <w:rFonts w:hint="eastAsia"/>
        </w:rPr>
      </w:pPr>
      <w:bookmarkStart w:id="94" w:name="_Toc2771"/>
      <w:bookmarkStart w:id="95" w:name="_Toc10182"/>
      <w:r>
        <w:rPr>
          <w:rFonts w:hint="eastAsia"/>
        </w:rPr>
        <w:t>查看</w:t>
      </w:r>
      <w:bookmarkEnd w:id="94"/>
      <w:bookmarkEnd w:id="95"/>
    </w:p>
    <w:p>
      <w:pPr>
        <w:pStyle w:val="31"/>
        <w:spacing w:line="360" w:lineRule="auto"/>
        <w:ind w:firstLine="0" w:firstLineChars="0"/>
        <w:jc w:val="left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点击表格中每一行的“姓名”，即可跳转到人员的详情页面</w:t>
      </w:r>
    </w:p>
    <w:p>
      <w:pPr>
        <w:pStyle w:val="31"/>
        <w:spacing w:line="360" w:lineRule="auto"/>
        <w:ind w:firstLine="0" w:firstLineChars="0"/>
        <w:jc w:val="left"/>
        <w:rPr>
          <w:rFonts w:hint="eastAsia"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8120" cy="231394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spacing w:line="360" w:lineRule="auto"/>
        <w:ind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在人员的详情页面，可以查看人员的所有信息</w:t>
      </w:r>
    </w:p>
    <w:p>
      <w:pPr>
        <w:pStyle w:val="31"/>
        <w:spacing w:line="360" w:lineRule="auto"/>
        <w:ind w:firstLine="0" w:firstLineChars="0"/>
        <w:jc w:val="left"/>
        <w:rPr>
          <w:rFonts w:hint="eastAsia"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8120" cy="2608580"/>
            <wp:effectExtent l="0" t="0" r="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7"/>
        </w:numPr>
        <w:bidi w:val="0"/>
        <w:rPr>
          <w:rFonts w:hint="eastAsia"/>
        </w:rPr>
      </w:pPr>
      <w:bookmarkStart w:id="96" w:name="_Toc12840"/>
      <w:bookmarkStart w:id="97" w:name="_Toc23860"/>
      <w:r>
        <w:rPr>
          <w:rFonts w:hint="eastAsia"/>
        </w:rPr>
        <w:t>统计</w:t>
      </w:r>
      <w:bookmarkEnd w:id="96"/>
      <w:bookmarkEnd w:id="97"/>
    </w:p>
    <w:p>
      <w:pPr>
        <w:pStyle w:val="31"/>
        <w:spacing w:line="360" w:lineRule="auto"/>
        <w:ind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目前人员信息统计，以年龄分布、政治面貌分布、学历分布进行统计，形成3个饼图</w:t>
      </w:r>
    </w:p>
    <w:p>
      <w:pPr>
        <w:pStyle w:val="31"/>
        <w:spacing w:line="360" w:lineRule="auto"/>
        <w:ind w:firstLine="0" w:firstLineChars="0"/>
        <w:jc w:val="left"/>
        <w:rPr>
          <w:rFonts w:hint="eastAsia"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8120" cy="227203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spacing w:line="360" w:lineRule="auto"/>
        <w:ind w:firstLine="0" w:firstLineChars="0"/>
        <w:jc w:val="left"/>
        <w:rPr>
          <w:rFonts w:ascii="微软雅黑" w:hAnsi="微软雅黑" w:eastAsia="微软雅黑"/>
          <w:sz w:val="24"/>
          <w:szCs w:val="24"/>
        </w:rPr>
      </w:pPr>
    </w:p>
    <w:p>
      <w:pPr>
        <w:pStyle w:val="31"/>
        <w:spacing w:line="360" w:lineRule="auto"/>
        <w:ind w:firstLine="0" w:firstLineChars="0"/>
        <w:jc w:val="left"/>
        <w:rPr>
          <w:rFonts w:hint="eastAsia" w:ascii="微软雅黑" w:hAnsi="微软雅黑" w:eastAsia="微软雅黑"/>
          <w:sz w:val="24"/>
          <w:szCs w:val="24"/>
        </w:rPr>
      </w:pPr>
    </w:p>
    <w:sectPr>
      <w:headerReference r:id="rId3" w:type="default"/>
      <w:footerReference r:id="rId4" w:type="default"/>
      <w:pgSz w:w="11906" w:h="16838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782445060"/>
    </w:sdtPr>
    <w:sdtContent>
      <w:p>
        <w:pPr>
          <w:pStyle w:val="14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20</w:t>
        </w:r>
        <w:r>
          <w:fldChar w:fldCharType="end"/>
        </w:r>
      </w:p>
    </w:sdtContent>
  </w:sdt>
  <w:p>
    <w:pPr>
      <w:pStyle w:val="1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jc w:val="right"/>
    </w:pPr>
    <w:r>
      <w:rPr>
        <w:rFonts w:hint="eastAsia"/>
      </w:rPr>
      <w:t>武汉问道信息技术有限公司管理文档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4D960F5"/>
    <w:multiLevelType w:val="singleLevel"/>
    <w:tmpl w:val="F4D960F5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C8F70B8"/>
    <w:multiLevelType w:val="multilevel"/>
    <w:tmpl w:val="0C8F70B8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3391770"/>
    <w:multiLevelType w:val="multilevel"/>
    <w:tmpl w:val="1339177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155352B2"/>
    <w:multiLevelType w:val="multilevel"/>
    <w:tmpl w:val="155352B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2519DF72"/>
    <w:multiLevelType w:val="singleLevel"/>
    <w:tmpl w:val="2519DF72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610587E2"/>
    <w:multiLevelType w:val="singleLevel"/>
    <w:tmpl w:val="610587E2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6A3B2B56"/>
    <w:multiLevelType w:val="singleLevel"/>
    <w:tmpl w:val="6A3B2B56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4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TE0NzQ5YTk2YTAwOTNjNTczYTIyOGMwNGZlOGIwN2UifQ=="/>
  </w:docVars>
  <w:rsids>
    <w:rsidRoot w:val="00122AB4"/>
    <w:rsid w:val="000017AB"/>
    <w:rsid w:val="00004086"/>
    <w:rsid w:val="00005A4A"/>
    <w:rsid w:val="00006E2C"/>
    <w:rsid w:val="00010CFE"/>
    <w:rsid w:val="00011468"/>
    <w:rsid w:val="00012938"/>
    <w:rsid w:val="00012B6B"/>
    <w:rsid w:val="00016EEB"/>
    <w:rsid w:val="000212D0"/>
    <w:rsid w:val="0002471B"/>
    <w:rsid w:val="000329DB"/>
    <w:rsid w:val="00032B35"/>
    <w:rsid w:val="000330C7"/>
    <w:rsid w:val="000362A6"/>
    <w:rsid w:val="0004057F"/>
    <w:rsid w:val="000405ED"/>
    <w:rsid w:val="0004305D"/>
    <w:rsid w:val="00047611"/>
    <w:rsid w:val="00052256"/>
    <w:rsid w:val="00055AD7"/>
    <w:rsid w:val="00057E4B"/>
    <w:rsid w:val="00062B05"/>
    <w:rsid w:val="0006327F"/>
    <w:rsid w:val="000653DB"/>
    <w:rsid w:val="00065D52"/>
    <w:rsid w:val="00065EEA"/>
    <w:rsid w:val="0007117D"/>
    <w:rsid w:val="000720B4"/>
    <w:rsid w:val="00073728"/>
    <w:rsid w:val="0007604B"/>
    <w:rsid w:val="000761ED"/>
    <w:rsid w:val="00076AC8"/>
    <w:rsid w:val="00080E69"/>
    <w:rsid w:val="00082413"/>
    <w:rsid w:val="00083337"/>
    <w:rsid w:val="00084BEE"/>
    <w:rsid w:val="00085D7F"/>
    <w:rsid w:val="000877D2"/>
    <w:rsid w:val="00094883"/>
    <w:rsid w:val="000A1F95"/>
    <w:rsid w:val="000A406B"/>
    <w:rsid w:val="000A449A"/>
    <w:rsid w:val="000A466E"/>
    <w:rsid w:val="000A4A8E"/>
    <w:rsid w:val="000A56A7"/>
    <w:rsid w:val="000A72E7"/>
    <w:rsid w:val="000B107B"/>
    <w:rsid w:val="000B3CB3"/>
    <w:rsid w:val="000B5244"/>
    <w:rsid w:val="000C287C"/>
    <w:rsid w:val="000C39AD"/>
    <w:rsid w:val="000C6112"/>
    <w:rsid w:val="000C7215"/>
    <w:rsid w:val="000D3AE5"/>
    <w:rsid w:val="000D3AEA"/>
    <w:rsid w:val="000D5F1B"/>
    <w:rsid w:val="000D7F95"/>
    <w:rsid w:val="000E244D"/>
    <w:rsid w:val="000E3C0A"/>
    <w:rsid w:val="000E4C92"/>
    <w:rsid w:val="000E5953"/>
    <w:rsid w:val="000E5CED"/>
    <w:rsid w:val="000E67B3"/>
    <w:rsid w:val="000E6FE9"/>
    <w:rsid w:val="000F1E8F"/>
    <w:rsid w:val="000F208C"/>
    <w:rsid w:val="000F370D"/>
    <w:rsid w:val="000F64A7"/>
    <w:rsid w:val="000F6C6E"/>
    <w:rsid w:val="001016A5"/>
    <w:rsid w:val="00103C01"/>
    <w:rsid w:val="00107270"/>
    <w:rsid w:val="00107818"/>
    <w:rsid w:val="00111B48"/>
    <w:rsid w:val="00112234"/>
    <w:rsid w:val="0011572D"/>
    <w:rsid w:val="00122AB4"/>
    <w:rsid w:val="00125C7C"/>
    <w:rsid w:val="0012621E"/>
    <w:rsid w:val="001270FF"/>
    <w:rsid w:val="00131854"/>
    <w:rsid w:val="00131D66"/>
    <w:rsid w:val="0013293D"/>
    <w:rsid w:val="001359F3"/>
    <w:rsid w:val="00137832"/>
    <w:rsid w:val="001408F6"/>
    <w:rsid w:val="00142B86"/>
    <w:rsid w:val="00143225"/>
    <w:rsid w:val="00144965"/>
    <w:rsid w:val="00144C1A"/>
    <w:rsid w:val="00146A3E"/>
    <w:rsid w:val="00147AB1"/>
    <w:rsid w:val="001502E9"/>
    <w:rsid w:val="0015163D"/>
    <w:rsid w:val="00154CF2"/>
    <w:rsid w:val="001608FD"/>
    <w:rsid w:val="00161DEF"/>
    <w:rsid w:val="001659E9"/>
    <w:rsid w:val="00166F33"/>
    <w:rsid w:val="00171769"/>
    <w:rsid w:val="0017267F"/>
    <w:rsid w:val="00175204"/>
    <w:rsid w:val="001762ED"/>
    <w:rsid w:val="00177365"/>
    <w:rsid w:val="00182A16"/>
    <w:rsid w:val="00182B76"/>
    <w:rsid w:val="00183CF0"/>
    <w:rsid w:val="00191442"/>
    <w:rsid w:val="001916A1"/>
    <w:rsid w:val="00194E9A"/>
    <w:rsid w:val="00197B56"/>
    <w:rsid w:val="001A20F3"/>
    <w:rsid w:val="001A78D2"/>
    <w:rsid w:val="001B3721"/>
    <w:rsid w:val="001B37BF"/>
    <w:rsid w:val="001B6174"/>
    <w:rsid w:val="001B720D"/>
    <w:rsid w:val="001B79B7"/>
    <w:rsid w:val="001C1CC7"/>
    <w:rsid w:val="001D1C4D"/>
    <w:rsid w:val="001D35C8"/>
    <w:rsid w:val="001D74F5"/>
    <w:rsid w:val="001D7B27"/>
    <w:rsid w:val="001E1675"/>
    <w:rsid w:val="001E1AFE"/>
    <w:rsid w:val="001E58A2"/>
    <w:rsid w:val="001F09F9"/>
    <w:rsid w:val="001F55C7"/>
    <w:rsid w:val="0020218A"/>
    <w:rsid w:val="002031B8"/>
    <w:rsid w:val="00206733"/>
    <w:rsid w:val="00206A5C"/>
    <w:rsid w:val="00210E32"/>
    <w:rsid w:val="00211715"/>
    <w:rsid w:val="0021775B"/>
    <w:rsid w:val="00221F98"/>
    <w:rsid w:val="00224602"/>
    <w:rsid w:val="00225996"/>
    <w:rsid w:val="00230F30"/>
    <w:rsid w:val="002325AE"/>
    <w:rsid w:val="00233F95"/>
    <w:rsid w:val="00234D47"/>
    <w:rsid w:val="00235F9A"/>
    <w:rsid w:val="00240F32"/>
    <w:rsid w:val="00242610"/>
    <w:rsid w:val="00243915"/>
    <w:rsid w:val="00251CDD"/>
    <w:rsid w:val="0025377D"/>
    <w:rsid w:val="00253BC1"/>
    <w:rsid w:val="002567EB"/>
    <w:rsid w:val="002635C7"/>
    <w:rsid w:val="00266DC5"/>
    <w:rsid w:val="00272260"/>
    <w:rsid w:val="0027247B"/>
    <w:rsid w:val="00272491"/>
    <w:rsid w:val="00281F31"/>
    <w:rsid w:val="00282AC0"/>
    <w:rsid w:val="00284BBE"/>
    <w:rsid w:val="00285B76"/>
    <w:rsid w:val="00286677"/>
    <w:rsid w:val="00287CB9"/>
    <w:rsid w:val="00287D15"/>
    <w:rsid w:val="0029077F"/>
    <w:rsid w:val="00292500"/>
    <w:rsid w:val="00292866"/>
    <w:rsid w:val="00294EC3"/>
    <w:rsid w:val="00296158"/>
    <w:rsid w:val="00297415"/>
    <w:rsid w:val="002A1091"/>
    <w:rsid w:val="002A729A"/>
    <w:rsid w:val="002A774F"/>
    <w:rsid w:val="002B0ED2"/>
    <w:rsid w:val="002B37C7"/>
    <w:rsid w:val="002B54FC"/>
    <w:rsid w:val="002B6086"/>
    <w:rsid w:val="002C03CD"/>
    <w:rsid w:val="002C17DC"/>
    <w:rsid w:val="002C4292"/>
    <w:rsid w:val="002C43F5"/>
    <w:rsid w:val="002C4789"/>
    <w:rsid w:val="002D5942"/>
    <w:rsid w:val="002E0FE3"/>
    <w:rsid w:val="002E2A29"/>
    <w:rsid w:val="002E3465"/>
    <w:rsid w:val="002E4D0F"/>
    <w:rsid w:val="002E6D21"/>
    <w:rsid w:val="002F155D"/>
    <w:rsid w:val="002F5794"/>
    <w:rsid w:val="002F620E"/>
    <w:rsid w:val="00304459"/>
    <w:rsid w:val="00304CF6"/>
    <w:rsid w:val="00305ADF"/>
    <w:rsid w:val="00305D77"/>
    <w:rsid w:val="003060A3"/>
    <w:rsid w:val="0030734D"/>
    <w:rsid w:val="00310CBA"/>
    <w:rsid w:val="003170F1"/>
    <w:rsid w:val="003258BE"/>
    <w:rsid w:val="003260E4"/>
    <w:rsid w:val="00327FA3"/>
    <w:rsid w:val="00333233"/>
    <w:rsid w:val="00334455"/>
    <w:rsid w:val="003362E0"/>
    <w:rsid w:val="003365C8"/>
    <w:rsid w:val="00337860"/>
    <w:rsid w:val="00340E23"/>
    <w:rsid w:val="00345D49"/>
    <w:rsid w:val="003613B0"/>
    <w:rsid w:val="003614B1"/>
    <w:rsid w:val="0036540F"/>
    <w:rsid w:val="00367BC7"/>
    <w:rsid w:val="00367E9E"/>
    <w:rsid w:val="0037147B"/>
    <w:rsid w:val="003715DC"/>
    <w:rsid w:val="003725FD"/>
    <w:rsid w:val="00375022"/>
    <w:rsid w:val="003768AE"/>
    <w:rsid w:val="00376F6F"/>
    <w:rsid w:val="003779FF"/>
    <w:rsid w:val="00377FE3"/>
    <w:rsid w:val="00385CAE"/>
    <w:rsid w:val="0038629C"/>
    <w:rsid w:val="0039021E"/>
    <w:rsid w:val="00391767"/>
    <w:rsid w:val="00391D28"/>
    <w:rsid w:val="00391E1F"/>
    <w:rsid w:val="003967A5"/>
    <w:rsid w:val="00396FAC"/>
    <w:rsid w:val="003976D8"/>
    <w:rsid w:val="003A6788"/>
    <w:rsid w:val="003A6BAC"/>
    <w:rsid w:val="003A7E97"/>
    <w:rsid w:val="003B1A73"/>
    <w:rsid w:val="003B260B"/>
    <w:rsid w:val="003B6806"/>
    <w:rsid w:val="003C1DAE"/>
    <w:rsid w:val="003C1F59"/>
    <w:rsid w:val="003C34DA"/>
    <w:rsid w:val="003C3BD6"/>
    <w:rsid w:val="003C5091"/>
    <w:rsid w:val="003C74AA"/>
    <w:rsid w:val="003D086C"/>
    <w:rsid w:val="003D1C7C"/>
    <w:rsid w:val="003D2940"/>
    <w:rsid w:val="003D4410"/>
    <w:rsid w:val="003D6145"/>
    <w:rsid w:val="003D7418"/>
    <w:rsid w:val="003D7D4B"/>
    <w:rsid w:val="003E3808"/>
    <w:rsid w:val="003E39D0"/>
    <w:rsid w:val="003E56DB"/>
    <w:rsid w:val="003F08BF"/>
    <w:rsid w:val="004031B6"/>
    <w:rsid w:val="0040490F"/>
    <w:rsid w:val="00407E2F"/>
    <w:rsid w:val="00411343"/>
    <w:rsid w:val="00414C60"/>
    <w:rsid w:val="00415059"/>
    <w:rsid w:val="00422109"/>
    <w:rsid w:val="0042434E"/>
    <w:rsid w:val="00425619"/>
    <w:rsid w:val="00425DF6"/>
    <w:rsid w:val="004302B6"/>
    <w:rsid w:val="00430333"/>
    <w:rsid w:val="00430E66"/>
    <w:rsid w:val="00431003"/>
    <w:rsid w:val="00431605"/>
    <w:rsid w:val="004414CE"/>
    <w:rsid w:val="004453FD"/>
    <w:rsid w:val="00447E0F"/>
    <w:rsid w:val="0045011F"/>
    <w:rsid w:val="00452654"/>
    <w:rsid w:val="004550B9"/>
    <w:rsid w:val="00455BAA"/>
    <w:rsid w:val="00456006"/>
    <w:rsid w:val="004574B6"/>
    <w:rsid w:val="00461CBF"/>
    <w:rsid w:val="00463B21"/>
    <w:rsid w:val="00464426"/>
    <w:rsid w:val="00466C8C"/>
    <w:rsid w:val="004726F7"/>
    <w:rsid w:val="00473448"/>
    <w:rsid w:val="00473B6F"/>
    <w:rsid w:val="004749BB"/>
    <w:rsid w:val="00474EC1"/>
    <w:rsid w:val="00476320"/>
    <w:rsid w:val="004768BC"/>
    <w:rsid w:val="0048267D"/>
    <w:rsid w:val="004852EF"/>
    <w:rsid w:val="00485A30"/>
    <w:rsid w:val="00485C06"/>
    <w:rsid w:val="004A17DF"/>
    <w:rsid w:val="004A5F9A"/>
    <w:rsid w:val="004A6282"/>
    <w:rsid w:val="004A7873"/>
    <w:rsid w:val="004B2B82"/>
    <w:rsid w:val="004B3AEA"/>
    <w:rsid w:val="004B4BC2"/>
    <w:rsid w:val="004B4C75"/>
    <w:rsid w:val="004B608F"/>
    <w:rsid w:val="004B755E"/>
    <w:rsid w:val="004C2EE2"/>
    <w:rsid w:val="004C37FB"/>
    <w:rsid w:val="004C548E"/>
    <w:rsid w:val="004C5988"/>
    <w:rsid w:val="004C5B43"/>
    <w:rsid w:val="004D2014"/>
    <w:rsid w:val="004D316E"/>
    <w:rsid w:val="004D3FBE"/>
    <w:rsid w:val="004D4BE8"/>
    <w:rsid w:val="004E0BE7"/>
    <w:rsid w:val="004E1435"/>
    <w:rsid w:val="004E3AB8"/>
    <w:rsid w:val="004E42DA"/>
    <w:rsid w:val="004E5500"/>
    <w:rsid w:val="004F058F"/>
    <w:rsid w:val="004F13BA"/>
    <w:rsid w:val="004F2E05"/>
    <w:rsid w:val="005010DE"/>
    <w:rsid w:val="005049AE"/>
    <w:rsid w:val="005109EA"/>
    <w:rsid w:val="00512431"/>
    <w:rsid w:val="00517666"/>
    <w:rsid w:val="005245ED"/>
    <w:rsid w:val="005360DF"/>
    <w:rsid w:val="00542019"/>
    <w:rsid w:val="0054520E"/>
    <w:rsid w:val="005455BE"/>
    <w:rsid w:val="00547CC2"/>
    <w:rsid w:val="005503E6"/>
    <w:rsid w:val="00553754"/>
    <w:rsid w:val="00556563"/>
    <w:rsid w:val="0056026A"/>
    <w:rsid w:val="005631BF"/>
    <w:rsid w:val="00565F74"/>
    <w:rsid w:val="00570B48"/>
    <w:rsid w:val="00571E3B"/>
    <w:rsid w:val="00572484"/>
    <w:rsid w:val="00572C3B"/>
    <w:rsid w:val="00575855"/>
    <w:rsid w:val="005801D0"/>
    <w:rsid w:val="005810D0"/>
    <w:rsid w:val="00581721"/>
    <w:rsid w:val="00582A82"/>
    <w:rsid w:val="00584397"/>
    <w:rsid w:val="00593F89"/>
    <w:rsid w:val="00595F68"/>
    <w:rsid w:val="00595FD7"/>
    <w:rsid w:val="005A1BDB"/>
    <w:rsid w:val="005A47F7"/>
    <w:rsid w:val="005A6711"/>
    <w:rsid w:val="005B1544"/>
    <w:rsid w:val="005B3E96"/>
    <w:rsid w:val="005B41E7"/>
    <w:rsid w:val="005B5994"/>
    <w:rsid w:val="005B67B6"/>
    <w:rsid w:val="005B6BF5"/>
    <w:rsid w:val="005C67C7"/>
    <w:rsid w:val="005C6C5F"/>
    <w:rsid w:val="005C7D3B"/>
    <w:rsid w:val="005D0425"/>
    <w:rsid w:val="005D1E39"/>
    <w:rsid w:val="005D27D1"/>
    <w:rsid w:val="005D302B"/>
    <w:rsid w:val="005D3762"/>
    <w:rsid w:val="005D43CC"/>
    <w:rsid w:val="005D494C"/>
    <w:rsid w:val="005D6C0A"/>
    <w:rsid w:val="005D7A94"/>
    <w:rsid w:val="005E6D0D"/>
    <w:rsid w:val="005F0B89"/>
    <w:rsid w:val="005F3196"/>
    <w:rsid w:val="005F4E11"/>
    <w:rsid w:val="005F5B58"/>
    <w:rsid w:val="005F61D7"/>
    <w:rsid w:val="006015C7"/>
    <w:rsid w:val="00602838"/>
    <w:rsid w:val="00605622"/>
    <w:rsid w:val="006057EE"/>
    <w:rsid w:val="00605D98"/>
    <w:rsid w:val="0060662A"/>
    <w:rsid w:val="0060769A"/>
    <w:rsid w:val="006119B3"/>
    <w:rsid w:val="0061322F"/>
    <w:rsid w:val="0061332F"/>
    <w:rsid w:val="006161F8"/>
    <w:rsid w:val="0061736A"/>
    <w:rsid w:val="0062102E"/>
    <w:rsid w:val="00621207"/>
    <w:rsid w:val="006218FA"/>
    <w:rsid w:val="00622876"/>
    <w:rsid w:val="00622C7D"/>
    <w:rsid w:val="00624B89"/>
    <w:rsid w:val="00630DE7"/>
    <w:rsid w:val="0063108A"/>
    <w:rsid w:val="006316EC"/>
    <w:rsid w:val="00632DEA"/>
    <w:rsid w:val="00634ED4"/>
    <w:rsid w:val="00636B1D"/>
    <w:rsid w:val="006375F3"/>
    <w:rsid w:val="006400C2"/>
    <w:rsid w:val="006431AB"/>
    <w:rsid w:val="0065578F"/>
    <w:rsid w:val="006560FB"/>
    <w:rsid w:val="0065748A"/>
    <w:rsid w:val="00663E9D"/>
    <w:rsid w:val="006662AB"/>
    <w:rsid w:val="0066737D"/>
    <w:rsid w:val="00673077"/>
    <w:rsid w:val="00673EA4"/>
    <w:rsid w:val="00674C7E"/>
    <w:rsid w:val="00680A88"/>
    <w:rsid w:val="00680C3A"/>
    <w:rsid w:val="00681132"/>
    <w:rsid w:val="00682D89"/>
    <w:rsid w:val="00685099"/>
    <w:rsid w:val="00697452"/>
    <w:rsid w:val="006A6EAC"/>
    <w:rsid w:val="006B3CDF"/>
    <w:rsid w:val="006C0C94"/>
    <w:rsid w:val="006C29E2"/>
    <w:rsid w:val="006C44F4"/>
    <w:rsid w:val="006C528A"/>
    <w:rsid w:val="006C758C"/>
    <w:rsid w:val="006D170C"/>
    <w:rsid w:val="006E4FDF"/>
    <w:rsid w:val="006E7477"/>
    <w:rsid w:val="006F10A1"/>
    <w:rsid w:val="00707367"/>
    <w:rsid w:val="00714662"/>
    <w:rsid w:val="00720D73"/>
    <w:rsid w:val="00724DB1"/>
    <w:rsid w:val="00724FDA"/>
    <w:rsid w:val="00725A9C"/>
    <w:rsid w:val="0072692F"/>
    <w:rsid w:val="00726CFD"/>
    <w:rsid w:val="007271B7"/>
    <w:rsid w:val="0072783D"/>
    <w:rsid w:val="00731C3D"/>
    <w:rsid w:val="00731CA1"/>
    <w:rsid w:val="00736A41"/>
    <w:rsid w:val="007412C8"/>
    <w:rsid w:val="00743702"/>
    <w:rsid w:val="00747D5D"/>
    <w:rsid w:val="00750BF6"/>
    <w:rsid w:val="00752957"/>
    <w:rsid w:val="0076034C"/>
    <w:rsid w:val="00764848"/>
    <w:rsid w:val="00764E3A"/>
    <w:rsid w:val="00766D90"/>
    <w:rsid w:val="00772795"/>
    <w:rsid w:val="00774230"/>
    <w:rsid w:val="00775CC9"/>
    <w:rsid w:val="00777DFB"/>
    <w:rsid w:val="00782659"/>
    <w:rsid w:val="00786224"/>
    <w:rsid w:val="00794311"/>
    <w:rsid w:val="007961F4"/>
    <w:rsid w:val="00796615"/>
    <w:rsid w:val="0079670D"/>
    <w:rsid w:val="007A26B0"/>
    <w:rsid w:val="007A5E4B"/>
    <w:rsid w:val="007B4E60"/>
    <w:rsid w:val="007C25AD"/>
    <w:rsid w:val="007C27C6"/>
    <w:rsid w:val="007D6FC5"/>
    <w:rsid w:val="007E1BE9"/>
    <w:rsid w:val="007E1ECD"/>
    <w:rsid w:val="007E4467"/>
    <w:rsid w:val="007E4BF3"/>
    <w:rsid w:val="007E63F4"/>
    <w:rsid w:val="007E6AF3"/>
    <w:rsid w:val="007F1046"/>
    <w:rsid w:val="007F5AEF"/>
    <w:rsid w:val="007F7475"/>
    <w:rsid w:val="008018A4"/>
    <w:rsid w:val="00801AF3"/>
    <w:rsid w:val="0080228A"/>
    <w:rsid w:val="00802741"/>
    <w:rsid w:val="00805EF9"/>
    <w:rsid w:val="008112F8"/>
    <w:rsid w:val="00811EB1"/>
    <w:rsid w:val="008129E9"/>
    <w:rsid w:val="0081369D"/>
    <w:rsid w:val="008147FF"/>
    <w:rsid w:val="008177BB"/>
    <w:rsid w:val="00823104"/>
    <w:rsid w:val="008307C2"/>
    <w:rsid w:val="008308E1"/>
    <w:rsid w:val="00831151"/>
    <w:rsid w:val="00831F55"/>
    <w:rsid w:val="008327E0"/>
    <w:rsid w:val="00833EE3"/>
    <w:rsid w:val="00834720"/>
    <w:rsid w:val="00836E59"/>
    <w:rsid w:val="0084287D"/>
    <w:rsid w:val="008477FF"/>
    <w:rsid w:val="008506AA"/>
    <w:rsid w:val="0085284C"/>
    <w:rsid w:val="00855DDB"/>
    <w:rsid w:val="0085647F"/>
    <w:rsid w:val="008612C2"/>
    <w:rsid w:val="00864361"/>
    <w:rsid w:val="00864B67"/>
    <w:rsid w:val="00865846"/>
    <w:rsid w:val="00865EF8"/>
    <w:rsid w:val="0086606D"/>
    <w:rsid w:val="00871C07"/>
    <w:rsid w:val="00883357"/>
    <w:rsid w:val="00885170"/>
    <w:rsid w:val="00891070"/>
    <w:rsid w:val="00896C43"/>
    <w:rsid w:val="008A0DC3"/>
    <w:rsid w:val="008A2656"/>
    <w:rsid w:val="008A3858"/>
    <w:rsid w:val="008A72EA"/>
    <w:rsid w:val="008B0592"/>
    <w:rsid w:val="008B15AA"/>
    <w:rsid w:val="008B2930"/>
    <w:rsid w:val="008B4F5A"/>
    <w:rsid w:val="008C4401"/>
    <w:rsid w:val="008C4B36"/>
    <w:rsid w:val="008C546F"/>
    <w:rsid w:val="008D149C"/>
    <w:rsid w:val="008D4524"/>
    <w:rsid w:val="008D5E6F"/>
    <w:rsid w:val="008D789D"/>
    <w:rsid w:val="008E22CA"/>
    <w:rsid w:val="008E2DBC"/>
    <w:rsid w:val="008E3354"/>
    <w:rsid w:val="008E34A9"/>
    <w:rsid w:val="008E4413"/>
    <w:rsid w:val="008E5EB2"/>
    <w:rsid w:val="008F0289"/>
    <w:rsid w:val="008F07CA"/>
    <w:rsid w:val="008F2DAB"/>
    <w:rsid w:val="008F4EC0"/>
    <w:rsid w:val="008F749B"/>
    <w:rsid w:val="008F778E"/>
    <w:rsid w:val="00900D3D"/>
    <w:rsid w:val="00901BF9"/>
    <w:rsid w:val="009043ED"/>
    <w:rsid w:val="0090458C"/>
    <w:rsid w:val="00910DC2"/>
    <w:rsid w:val="00913085"/>
    <w:rsid w:val="0091349D"/>
    <w:rsid w:val="00916DD1"/>
    <w:rsid w:val="00923624"/>
    <w:rsid w:val="00924B55"/>
    <w:rsid w:val="0093082B"/>
    <w:rsid w:val="00932525"/>
    <w:rsid w:val="00933EC2"/>
    <w:rsid w:val="00934342"/>
    <w:rsid w:val="00935169"/>
    <w:rsid w:val="009368A2"/>
    <w:rsid w:val="00943CF4"/>
    <w:rsid w:val="00944927"/>
    <w:rsid w:val="00945D14"/>
    <w:rsid w:val="009460D8"/>
    <w:rsid w:val="00946B8A"/>
    <w:rsid w:val="009473AF"/>
    <w:rsid w:val="00950AEA"/>
    <w:rsid w:val="0095239B"/>
    <w:rsid w:val="009546B9"/>
    <w:rsid w:val="00956F90"/>
    <w:rsid w:val="0096101F"/>
    <w:rsid w:val="009611E4"/>
    <w:rsid w:val="00962FED"/>
    <w:rsid w:val="00971304"/>
    <w:rsid w:val="00982105"/>
    <w:rsid w:val="009833BB"/>
    <w:rsid w:val="00983713"/>
    <w:rsid w:val="009843AF"/>
    <w:rsid w:val="00984657"/>
    <w:rsid w:val="00991D1D"/>
    <w:rsid w:val="00991DE4"/>
    <w:rsid w:val="00996707"/>
    <w:rsid w:val="009A6CF4"/>
    <w:rsid w:val="009A6E6E"/>
    <w:rsid w:val="009A7C21"/>
    <w:rsid w:val="009B12B6"/>
    <w:rsid w:val="009B22DF"/>
    <w:rsid w:val="009B4A9E"/>
    <w:rsid w:val="009B68E7"/>
    <w:rsid w:val="009B68ED"/>
    <w:rsid w:val="009B714C"/>
    <w:rsid w:val="009C1447"/>
    <w:rsid w:val="009C3C2B"/>
    <w:rsid w:val="009C40F7"/>
    <w:rsid w:val="009C7191"/>
    <w:rsid w:val="009D4970"/>
    <w:rsid w:val="009D4AA0"/>
    <w:rsid w:val="009E7C0B"/>
    <w:rsid w:val="009F06AD"/>
    <w:rsid w:val="009F5128"/>
    <w:rsid w:val="009F5AFF"/>
    <w:rsid w:val="00A010BB"/>
    <w:rsid w:val="00A03542"/>
    <w:rsid w:val="00A05623"/>
    <w:rsid w:val="00A10233"/>
    <w:rsid w:val="00A12D24"/>
    <w:rsid w:val="00A130F6"/>
    <w:rsid w:val="00A25A56"/>
    <w:rsid w:val="00A25E0A"/>
    <w:rsid w:val="00A26F6A"/>
    <w:rsid w:val="00A2719B"/>
    <w:rsid w:val="00A306F2"/>
    <w:rsid w:val="00A343C8"/>
    <w:rsid w:val="00A344A3"/>
    <w:rsid w:val="00A34B31"/>
    <w:rsid w:val="00A40C4E"/>
    <w:rsid w:val="00A4263E"/>
    <w:rsid w:val="00A46287"/>
    <w:rsid w:val="00A51A86"/>
    <w:rsid w:val="00A53373"/>
    <w:rsid w:val="00A60AD1"/>
    <w:rsid w:val="00A6112B"/>
    <w:rsid w:val="00A613C0"/>
    <w:rsid w:val="00A65564"/>
    <w:rsid w:val="00A658D3"/>
    <w:rsid w:val="00A70375"/>
    <w:rsid w:val="00A713AF"/>
    <w:rsid w:val="00A728C8"/>
    <w:rsid w:val="00A75137"/>
    <w:rsid w:val="00A761B5"/>
    <w:rsid w:val="00A767F6"/>
    <w:rsid w:val="00A779E6"/>
    <w:rsid w:val="00A817F9"/>
    <w:rsid w:val="00A831B9"/>
    <w:rsid w:val="00A91308"/>
    <w:rsid w:val="00A9461C"/>
    <w:rsid w:val="00A95E47"/>
    <w:rsid w:val="00A95F37"/>
    <w:rsid w:val="00A972B5"/>
    <w:rsid w:val="00A97B17"/>
    <w:rsid w:val="00AA4005"/>
    <w:rsid w:val="00AB6B29"/>
    <w:rsid w:val="00AB73AB"/>
    <w:rsid w:val="00AC1674"/>
    <w:rsid w:val="00AC243F"/>
    <w:rsid w:val="00AC3602"/>
    <w:rsid w:val="00AC47F7"/>
    <w:rsid w:val="00AC6419"/>
    <w:rsid w:val="00AD12DA"/>
    <w:rsid w:val="00AD21E4"/>
    <w:rsid w:val="00AD6192"/>
    <w:rsid w:val="00AE0D07"/>
    <w:rsid w:val="00AE1730"/>
    <w:rsid w:val="00AE3CAE"/>
    <w:rsid w:val="00AE43AB"/>
    <w:rsid w:val="00AE60A7"/>
    <w:rsid w:val="00AE75AD"/>
    <w:rsid w:val="00AF20D9"/>
    <w:rsid w:val="00AF437A"/>
    <w:rsid w:val="00B015DD"/>
    <w:rsid w:val="00B025E3"/>
    <w:rsid w:val="00B063A2"/>
    <w:rsid w:val="00B12F06"/>
    <w:rsid w:val="00B212D7"/>
    <w:rsid w:val="00B23AD0"/>
    <w:rsid w:val="00B26270"/>
    <w:rsid w:val="00B32B93"/>
    <w:rsid w:val="00B353D4"/>
    <w:rsid w:val="00B36C3A"/>
    <w:rsid w:val="00B42C20"/>
    <w:rsid w:val="00B43446"/>
    <w:rsid w:val="00B453A3"/>
    <w:rsid w:val="00B603CD"/>
    <w:rsid w:val="00B649FE"/>
    <w:rsid w:val="00B711F3"/>
    <w:rsid w:val="00B72FCB"/>
    <w:rsid w:val="00B749D1"/>
    <w:rsid w:val="00B7605D"/>
    <w:rsid w:val="00B80254"/>
    <w:rsid w:val="00B918F5"/>
    <w:rsid w:val="00B93481"/>
    <w:rsid w:val="00B9619E"/>
    <w:rsid w:val="00B964F4"/>
    <w:rsid w:val="00BA005E"/>
    <w:rsid w:val="00BA073F"/>
    <w:rsid w:val="00BA3802"/>
    <w:rsid w:val="00BA50A0"/>
    <w:rsid w:val="00BA5E64"/>
    <w:rsid w:val="00BB009F"/>
    <w:rsid w:val="00BB4F88"/>
    <w:rsid w:val="00BB5195"/>
    <w:rsid w:val="00BC11C7"/>
    <w:rsid w:val="00BC1C74"/>
    <w:rsid w:val="00BC269A"/>
    <w:rsid w:val="00BC45DE"/>
    <w:rsid w:val="00BC5817"/>
    <w:rsid w:val="00BD0E35"/>
    <w:rsid w:val="00BD45B2"/>
    <w:rsid w:val="00BE231C"/>
    <w:rsid w:val="00BE25EF"/>
    <w:rsid w:val="00BE45E1"/>
    <w:rsid w:val="00BF05D6"/>
    <w:rsid w:val="00BF1891"/>
    <w:rsid w:val="00BF2402"/>
    <w:rsid w:val="00BF2882"/>
    <w:rsid w:val="00BF5F78"/>
    <w:rsid w:val="00BF6984"/>
    <w:rsid w:val="00BF7787"/>
    <w:rsid w:val="00C04F76"/>
    <w:rsid w:val="00C0770B"/>
    <w:rsid w:val="00C12CC2"/>
    <w:rsid w:val="00C13316"/>
    <w:rsid w:val="00C14AAD"/>
    <w:rsid w:val="00C16354"/>
    <w:rsid w:val="00C164A4"/>
    <w:rsid w:val="00C23997"/>
    <w:rsid w:val="00C30C71"/>
    <w:rsid w:val="00C30DBC"/>
    <w:rsid w:val="00C31210"/>
    <w:rsid w:val="00C3299E"/>
    <w:rsid w:val="00C34298"/>
    <w:rsid w:val="00C36489"/>
    <w:rsid w:val="00C3700F"/>
    <w:rsid w:val="00C377BC"/>
    <w:rsid w:val="00C37E7D"/>
    <w:rsid w:val="00C5199E"/>
    <w:rsid w:val="00C53895"/>
    <w:rsid w:val="00C60800"/>
    <w:rsid w:val="00C6138A"/>
    <w:rsid w:val="00C65534"/>
    <w:rsid w:val="00C70CF4"/>
    <w:rsid w:val="00C71AEF"/>
    <w:rsid w:val="00C727CB"/>
    <w:rsid w:val="00C754EB"/>
    <w:rsid w:val="00C75B3A"/>
    <w:rsid w:val="00C825F1"/>
    <w:rsid w:val="00C82A0C"/>
    <w:rsid w:val="00C83EC0"/>
    <w:rsid w:val="00C8612B"/>
    <w:rsid w:val="00C87B0C"/>
    <w:rsid w:val="00C93E67"/>
    <w:rsid w:val="00C94DA9"/>
    <w:rsid w:val="00C95D96"/>
    <w:rsid w:val="00CA1571"/>
    <w:rsid w:val="00CA24BF"/>
    <w:rsid w:val="00CA28C6"/>
    <w:rsid w:val="00CA2BEB"/>
    <w:rsid w:val="00CA3161"/>
    <w:rsid w:val="00CA492B"/>
    <w:rsid w:val="00CA5FA6"/>
    <w:rsid w:val="00CB08FD"/>
    <w:rsid w:val="00CB1A4C"/>
    <w:rsid w:val="00CB25D6"/>
    <w:rsid w:val="00CB35D6"/>
    <w:rsid w:val="00CB4056"/>
    <w:rsid w:val="00CC0C10"/>
    <w:rsid w:val="00CC17D2"/>
    <w:rsid w:val="00CC19ED"/>
    <w:rsid w:val="00CC37D4"/>
    <w:rsid w:val="00CC4798"/>
    <w:rsid w:val="00CC6F00"/>
    <w:rsid w:val="00CC79F2"/>
    <w:rsid w:val="00CD578A"/>
    <w:rsid w:val="00CE32ED"/>
    <w:rsid w:val="00CE43F5"/>
    <w:rsid w:val="00CE57BD"/>
    <w:rsid w:val="00CE6C3B"/>
    <w:rsid w:val="00CF0348"/>
    <w:rsid w:val="00CF06C0"/>
    <w:rsid w:val="00CF174B"/>
    <w:rsid w:val="00CF2722"/>
    <w:rsid w:val="00CF4ABC"/>
    <w:rsid w:val="00CF57AA"/>
    <w:rsid w:val="00CF59D3"/>
    <w:rsid w:val="00D0216A"/>
    <w:rsid w:val="00D025E8"/>
    <w:rsid w:val="00D02B7A"/>
    <w:rsid w:val="00D03D62"/>
    <w:rsid w:val="00D03F84"/>
    <w:rsid w:val="00D05966"/>
    <w:rsid w:val="00D06AC1"/>
    <w:rsid w:val="00D06EF4"/>
    <w:rsid w:val="00D113E7"/>
    <w:rsid w:val="00D16932"/>
    <w:rsid w:val="00D16C84"/>
    <w:rsid w:val="00D32A9E"/>
    <w:rsid w:val="00D4315C"/>
    <w:rsid w:val="00D44749"/>
    <w:rsid w:val="00D45E65"/>
    <w:rsid w:val="00D4652B"/>
    <w:rsid w:val="00D50065"/>
    <w:rsid w:val="00D52962"/>
    <w:rsid w:val="00D5608A"/>
    <w:rsid w:val="00D56111"/>
    <w:rsid w:val="00D5687C"/>
    <w:rsid w:val="00D5708D"/>
    <w:rsid w:val="00D62949"/>
    <w:rsid w:val="00D651CD"/>
    <w:rsid w:val="00D659AB"/>
    <w:rsid w:val="00D65EF6"/>
    <w:rsid w:val="00D71732"/>
    <w:rsid w:val="00D721AF"/>
    <w:rsid w:val="00D721FC"/>
    <w:rsid w:val="00D73520"/>
    <w:rsid w:val="00D75132"/>
    <w:rsid w:val="00D82609"/>
    <w:rsid w:val="00D83CED"/>
    <w:rsid w:val="00D83DB1"/>
    <w:rsid w:val="00D859DA"/>
    <w:rsid w:val="00D85F00"/>
    <w:rsid w:val="00D870D7"/>
    <w:rsid w:val="00D904D9"/>
    <w:rsid w:val="00D92D09"/>
    <w:rsid w:val="00D9331F"/>
    <w:rsid w:val="00D93B39"/>
    <w:rsid w:val="00D93BBB"/>
    <w:rsid w:val="00D96562"/>
    <w:rsid w:val="00DA3486"/>
    <w:rsid w:val="00DA57D9"/>
    <w:rsid w:val="00DA6B03"/>
    <w:rsid w:val="00DA73AE"/>
    <w:rsid w:val="00DB2DCF"/>
    <w:rsid w:val="00DB3CCC"/>
    <w:rsid w:val="00DB5A27"/>
    <w:rsid w:val="00DB7A3E"/>
    <w:rsid w:val="00DB7C0A"/>
    <w:rsid w:val="00DC1E44"/>
    <w:rsid w:val="00DC6829"/>
    <w:rsid w:val="00DC760F"/>
    <w:rsid w:val="00DD1078"/>
    <w:rsid w:val="00DD1FDC"/>
    <w:rsid w:val="00DD55EA"/>
    <w:rsid w:val="00DD5D35"/>
    <w:rsid w:val="00DE199B"/>
    <w:rsid w:val="00DE1C70"/>
    <w:rsid w:val="00DE2542"/>
    <w:rsid w:val="00DE2667"/>
    <w:rsid w:val="00DE2A6D"/>
    <w:rsid w:val="00DE4C59"/>
    <w:rsid w:val="00DF10D9"/>
    <w:rsid w:val="00DF1B63"/>
    <w:rsid w:val="00DF2870"/>
    <w:rsid w:val="00DF38F8"/>
    <w:rsid w:val="00DF46D5"/>
    <w:rsid w:val="00DF5CF5"/>
    <w:rsid w:val="00DF7319"/>
    <w:rsid w:val="00DF75B0"/>
    <w:rsid w:val="00E000A5"/>
    <w:rsid w:val="00E01DC2"/>
    <w:rsid w:val="00E04239"/>
    <w:rsid w:val="00E04839"/>
    <w:rsid w:val="00E06D68"/>
    <w:rsid w:val="00E0754C"/>
    <w:rsid w:val="00E076ED"/>
    <w:rsid w:val="00E102CB"/>
    <w:rsid w:val="00E10810"/>
    <w:rsid w:val="00E11FDB"/>
    <w:rsid w:val="00E127AE"/>
    <w:rsid w:val="00E16261"/>
    <w:rsid w:val="00E175FC"/>
    <w:rsid w:val="00E1787D"/>
    <w:rsid w:val="00E220EB"/>
    <w:rsid w:val="00E23F0E"/>
    <w:rsid w:val="00E24698"/>
    <w:rsid w:val="00E2543E"/>
    <w:rsid w:val="00E30597"/>
    <w:rsid w:val="00E32376"/>
    <w:rsid w:val="00E34035"/>
    <w:rsid w:val="00E36F7F"/>
    <w:rsid w:val="00E40568"/>
    <w:rsid w:val="00E40715"/>
    <w:rsid w:val="00E44677"/>
    <w:rsid w:val="00E450DA"/>
    <w:rsid w:val="00E46202"/>
    <w:rsid w:val="00E47209"/>
    <w:rsid w:val="00E472B2"/>
    <w:rsid w:val="00E51C80"/>
    <w:rsid w:val="00E51DC9"/>
    <w:rsid w:val="00E5288E"/>
    <w:rsid w:val="00E53E01"/>
    <w:rsid w:val="00E54430"/>
    <w:rsid w:val="00E6209E"/>
    <w:rsid w:val="00E633DB"/>
    <w:rsid w:val="00E66A2D"/>
    <w:rsid w:val="00E7442F"/>
    <w:rsid w:val="00E7575B"/>
    <w:rsid w:val="00E8677A"/>
    <w:rsid w:val="00E907D4"/>
    <w:rsid w:val="00E94A61"/>
    <w:rsid w:val="00E95FFF"/>
    <w:rsid w:val="00EA016F"/>
    <w:rsid w:val="00EA5544"/>
    <w:rsid w:val="00EB0042"/>
    <w:rsid w:val="00EB1F94"/>
    <w:rsid w:val="00EB569C"/>
    <w:rsid w:val="00EC0481"/>
    <w:rsid w:val="00EC122E"/>
    <w:rsid w:val="00EC3672"/>
    <w:rsid w:val="00EC459A"/>
    <w:rsid w:val="00EC6140"/>
    <w:rsid w:val="00EC7B76"/>
    <w:rsid w:val="00ED0E85"/>
    <w:rsid w:val="00ED1360"/>
    <w:rsid w:val="00ED7F40"/>
    <w:rsid w:val="00EE1C0E"/>
    <w:rsid w:val="00EE4038"/>
    <w:rsid w:val="00EE5378"/>
    <w:rsid w:val="00EE64AF"/>
    <w:rsid w:val="00EE712B"/>
    <w:rsid w:val="00EF0693"/>
    <w:rsid w:val="00EF29C2"/>
    <w:rsid w:val="00EF4B13"/>
    <w:rsid w:val="00EF53C0"/>
    <w:rsid w:val="00EF72D1"/>
    <w:rsid w:val="00F0177C"/>
    <w:rsid w:val="00F032FC"/>
    <w:rsid w:val="00F039AC"/>
    <w:rsid w:val="00F041A9"/>
    <w:rsid w:val="00F1238F"/>
    <w:rsid w:val="00F13927"/>
    <w:rsid w:val="00F15EDF"/>
    <w:rsid w:val="00F1623B"/>
    <w:rsid w:val="00F17634"/>
    <w:rsid w:val="00F2781F"/>
    <w:rsid w:val="00F317E0"/>
    <w:rsid w:val="00F336E1"/>
    <w:rsid w:val="00F3734A"/>
    <w:rsid w:val="00F41402"/>
    <w:rsid w:val="00F441F7"/>
    <w:rsid w:val="00F44B60"/>
    <w:rsid w:val="00F50FA3"/>
    <w:rsid w:val="00F5201E"/>
    <w:rsid w:val="00F52160"/>
    <w:rsid w:val="00F55EE1"/>
    <w:rsid w:val="00F65D38"/>
    <w:rsid w:val="00F660D8"/>
    <w:rsid w:val="00F73CEA"/>
    <w:rsid w:val="00F74D42"/>
    <w:rsid w:val="00F80D96"/>
    <w:rsid w:val="00F8195D"/>
    <w:rsid w:val="00F81CE3"/>
    <w:rsid w:val="00F81F66"/>
    <w:rsid w:val="00F82BEE"/>
    <w:rsid w:val="00F83BFF"/>
    <w:rsid w:val="00F86082"/>
    <w:rsid w:val="00F927E2"/>
    <w:rsid w:val="00F93B0A"/>
    <w:rsid w:val="00F93E40"/>
    <w:rsid w:val="00F97844"/>
    <w:rsid w:val="00FA097C"/>
    <w:rsid w:val="00FA29B8"/>
    <w:rsid w:val="00FA5AFB"/>
    <w:rsid w:val="00FA75CD"/>
    <w:rsid w:val="00FA7F07"/>
    <w:rsid w:val="00FB5906"/>
    <w:rsid w:val="00FC284A"/>
    <w:rsid w:val="00FC2F42"/>
    <w:rsid w:val="00FC3FF4"/>
    <w:rsid w:val="00FD3B41"/>
    <w:rsid w:val="00FD3C60"/>
    <w:rsid w:val="00FD7EB0"/>
    <w:rsid w:val="00FE14C9"/>
    <w:rsid w:val="00FE2600"/>
    <w:rsid w:val="00FE3E3B"/>
    <w:rsid w:val="00FF1CB7"/>
    <w:rsid w:val="016A347B"/>
    <w:rsid w:val="01944054"/>
    <w:rsid w:val="05F7625A"/>
    <w:rsid w:val="06B869C0"/>
    <w:rsid w:val="0B560997"/>
    <w:rsid w:val="0D782A7C"/>
    <w:rsid w:val="0EFD53DC"/>
    <w:rsid w:val="0F64692A"/>
    <w:rsid w:val="0FDB41B3"/>
    <w:rsid w:val="1014634C"/>
    <w:rsid w:val="13CF2AD5"/>
    <w:rsid w:val="14BA1888"/>
    <w:rsid w:val="14F238F6"/>
    <w:rsid w:val="16167E32"/>
    <w:rsid w:val="1817547A"/>
    <w:rsid w:val="1CAC5B9E"/>
    <w:rsid w:val="1DEF0D06"/>
    <w:rsid w:val="1E0049D6"/>
    <w:rsid w:val="1E2D198B"/>
    <w:rsid w:val="23AB7761"/>
    <w:rsid w:val="24FF6987"/>
    <w:rsid w:val="2D8A61D5"/>
    <w:rsid w:val="308248CB"/>
    <w:rsid w:val="30FF39AF"/>
    <w:rsid w:val="328D550D"/>
    <w:rsid w:val="33C10429"/>
    <w:rsid w:val="36091C16"/>
    <w:rsid w:val="378B6FFE"/>
    <w:rsid w:val="38A47E95"/>
    <w:rsid w:val="3B2A569D"/>
    <w:rsid w:val="3CBC6E58"/>
    <w:rsid w:val="3DB86D29"/>
    <w:rsid w:val="3EAFCFEA"/>
    <w:rsid w:val="3F6A24D9"/>
    <w:rsid w:val="3FBB5090"/>
    <w:rsid w:val="400D6123"/>
    <w:rsid w:val="407C22A8"/>
    <w:rsid w:val="452B1129"/>
    <w:rsid w:val="476C26BE"/>
    <w:rsid w:val="48D733E3"/>
    <w:rsid w:val="4B055CBE"/>
    <w:rsid w:val="4C7255A4"/>
    <w:rsid w:val="573062CA"/>
    <w:rsid w:val="57BAE91C"/>
    <w:rsid w:val="57F16363"/>
    <w:rsid w:val="58D7573F"/>
    <w:rsid w:val="592310BA"/>
    <w:rsid w:val="5BD90156"/>
    <w:rsid w:val="5DF5F387"/>
    <w:rsid w:val="5E1F0AFE"/>
    <w:rsid w:val="60BC5728"/>
    <w:rsid w:val="611E786C"/>
    <w:rsid w:val="630E6343"/>
    <w:rsid w:val="64195B0C"/>
    <w:rsid w:val="66185AB6"/>
    <w:rsid w:val="686E0D38"/>
    <w:rsid w:val="6BC15FEB"/>
    <w:rsid w:val="6CDB15BA"/>
    <w:rsid w:val="6D7101EF"/>
    <w:rsid w:val="73090EC9"/>
    <w:rsid w:val="77FFD1AC"/>
    <w:rsid w:val="782467A1"/>
    <w:rsid w:val="7A47E804"/>
    <w:rsid w:val="7AEF6A5A"/>
    <w:rsid w:val="7DBFD494"/>
    <w:rsid w:val="962F249C"/>
    <w:rsid w:val="A4FBB336"/>
    <w:rsid w:val="C6467E92"/>
    <w:rsid w:val="DB1FBEF9"/>
    <w:rsid w:val="DCAF8FF6"/>
    <w:rsid w:val="DFCF9720"/>
    <w:rsid w:val="E1EBDA2C"/>
    <w:rsid w:val="EDDDB9D3"/>
    <w:rsid w:val="EDEBDB0F"/>
    <w:rsid w:val="EFADA023"/>
    <w:rsid w:val="F7C501BC"/>
    <w:rsid w:val="FBDFA44D"/>
    <w:rsid w:val="FE511071"/>
    <w:rsid w:val="FFED0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name="toc 4"/>
    <w:lsdException w:qFormat="1" w:uiPriority="39" w:name="toc 5"/>
    <w:lsdException w:qFormat="1" w:uiPriority="39" w:name="toc 6"/>
    <w:lsdException w:qFormat="1" w:uiPriority="39" w:name="toc 7"/>
    <w:lsdException w:qFormat="1" w:uiPriority="39" w:name="toc 8"/>
    <w:lsdException w:qFormat="1"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4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24">
    <w:name w:val="Default Paragraph Font"/>
    <w:semiHidden/>
    <w:unhideWhenUsed/>
    <w:qFormat/>
    <w:uiPriority w:val="1"/>
  </w:style>
  <w:style w:type="table" w:default="1" w:styleId="2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autoRedefine/>
    <w:semiHidden/>
    <w:unhideWhenUsed/>
    <w:qFormat/>
    <w:uiPriority w:val="39"/>
    <w:pPr>
      <w:ind w:left="1260"/>
      <w:jc w:val="left"/>
    </w:pPr>
    <w:rPr>
      <w:rFonts w:eastAsiaTheme="minorHAnsi"/>
      <w:sz w:val="20"/>
      <w:szCs w:val="20"/>
    </w:rPr>
  </w:style>
  <w:style w:type="paragraph" w:styleId="7">
    <w:name w:val="Document Map"/>
    <w:basedOn w:val="1"/>
    <w:link w:val="36"/>
    <w:unhideWhenUsed/>
    <w:qFormat/>
    <w:uiPriority w:val="99"/>
    <w:rPr>
      <w:rFonts w:ascii="宋体" w:eastAsia="宋体"/>
      <w:sz w:val="24"/>
      <w:szCs w:val="24"/>
    </w:rPr>
  </w:style>
  <w:style w:type="paragraph" w:styleId="8">
    <w:name w:val="annotation text"/>
    <w:basedOn w:val="1"/>
    <w:link w:val="34"/>
    <w:unhideWhenUsed/>
    <w:qFormat/>
    <w:uiPriority w:val="99"/>
    <w:pPr>
      <w:jc w:val="left"/>
    </w:pPr>
  </w:style>
  <w:style w:type="paragraph" w:styleId="9">
    <w:name w:val="toc 5"/>
    <w:basedOn w:val="1"/>
    <w:next w:val="1"/>
    <w:autoRedefine/>
    <w:semiHidden/>
    <w:unhideWhenUsed/>
    <w:qFormat/>
    <w:uiPriority w:val="39"/>
    <w:pPr>
      <w:ind w:left="840"/>
      <w:jc w:val="left"/>
    </w:pPr>
    <w:rPr>
      <w:rFonts w:eastAsiaTheme="minorHAnsi"/>
      <w:sz w:val="20"/>
      <w:szCs w:val="20"/>
    </w:rPr>
  </w:style>
  <w:style w:type="paragraph" w:styleId="10">
    <w:name w:val="toc 3"/>
    <w:basedOn w:val="1"/>
    <w:next w:val="1"/>
    <w:unhideWhenUsed/>
    <w:qFormat/>
    <w:uiPriority w:val="39"/>
    <w:pPr>
      <w:ind w:left="420"/>
      <w:jc w:val="left"/>
    </w:pPr>
    <w:rPr>
      <w:rFonts w:eastAsiaTheme="minorHAnsi"/>
      <w:sz w:val="20"/>
      <w:szCs w:val="20"/>
    </w:rPr>
  </w:style>
  <w:style w:type="paragraph" w:styleId="11">
    <w:name w:val="toc 8"/>
    <w:basedOn w:val="1"/>
    <w:next w:val="1"/>
    <w:autoRedefine/>
    <w:semiHidden/>
    <w:unhideWhenUsed/>
    <w:qFormat/>
    <w:uiPriority w:val="39"/>
    <w:pPr>
      <w:ind w:left="1470"/>
      <w:jc w:val="left"/>
    </w:pPr>
    <w:rPr>
      <w:rFonts w:eastAsiaTheme="minorHAnsi"/>
      <w:sz w:val="20"/>
      <w:szCs w:val="20"/>
    </w:rPr>
  </w:style>
  <w:style w:type="paragraph" w:styleId="12">
    <w:name w:val="Date"/>
    <w:basedOn w:val="1"/>
    <w:next w:val="1"/>
    <w:link w:val="30"/>
    <w:unhideWhenUsed/>
    <w:qFormat/>
    <w:uiPriority w:val="99"/>
    <w:pPr>
      <w:ind w:left="100" w:leftChars="2500"/>
    </w:pPr>
  </w:style>
  <w:style w:type="paragraph" w:styleId="13">
    <w:name w:val="Balloon Text"/>
    <w:basedOn w:val="1"/>
    <w:link w:val="33"/>
    <w:unhideWhenUsed/>
    <w:qFormat/>
    <w:uiPriority w:val="99"/>
    <w:rPr>
      <w:sz w:val="18"/>
      <w:szCs w:val="18"/>
    </w:rPr>
  </w:style>
  <w:style w:type="paragraph" w:styleId="14">
    <w:name w:val="footer"/>
    <w:basedOn w:val="1"/>
    <w:link w:val="2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link w:val="2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toc 1"/>
    <w:basedOn w:val="1"/>
    <w:next w:val="1"/>
    <w:unhideWhenUsed/>
    <w:qFormat/>
    <w:uiPriority w:val="39"/>
    <w:pPr>
      <w:spacing w:before="240" w:after="120"/>
      <w:jc w:val="left"/>
    </w:pPr>
    <w:rPr>
      <w:rFonts w:eastAsiaTheme="minorHAnsi"/>
      <w:b/>
      <w:bCs/>
      <w:sz w:val="20"/>
      <w:szCs w:val="20"/>
    </w:rPr>
  </w:style>
  <w:style w:type="paragraph" w:styleId="17">
    <w:name w:val="toc 4"/>
    <w:basedOn w:val="1"/>
    <w:next w:val="1"/>
    <w:autoRedefine/>
    <w:semiHidden/>
    <w:unhideWhenUsed/>
    <w:qFormat/>
    <w:uiPriority w:val="39"/>
    <w:pPr>
      <w:ind w:left="630"/>
      <w:jc w:val="left"/>
    </w:pPr>
    <w:rPr>
      <w:rFonts w:eastAsiaTheme="minorHAnsi"/>
      <w:sz w:val="20"/>
      <w:szCs w:val="20"/>
    </w:rPr>
  </w:style>
  <w:style w:type="paragraph" w:styleId="18">
    <w:name w:val="toc 6"/>
    <w:basedOn w:val="1"/>
    <w:next w:val="1"/>
    <w:autoRedefine/>
    <w:semiHidden/>
    <w:unhideWhenUsed/>
    <w:qFormat/>
    <w:uiPriority w:val="39"/>
    <w:pPr>
      <w:ind w:left="1050"/>
      <w:jc w:val="left"/>
    </w:pPr>
    <w:rPr>
      <w:rFonts w:eastAsiaTheme="minorHAnsi"/>
      <w:sz w:val="20"/>
      <w:szCs w:val="20"/>
    </w:rPr>
  </w:style>
  <w:style w:type="paragraph" w:styleId="19">
    <w:name w:val="toc 2"/>
    <w:basedOn w:val="1"/>
    <w:next w:val="1"/>
    <w:unhideWhenUsed/>
    <w:qFormat/>
    <w:uiPriority w:val="39"/>
    <w:pPr>
      <w:spacing w:before="120"/>
      <w:ind w:left="210"/>
      <w:jc w:val="left"/>
    </w:pPr>
    <w:rPr>
      <w:rFonts w:eastAsiaTheme="minorHAnsi"/>
      <w:i/>
      <w:iCs/>
      <w:sz w:val="20"/>
      <w:szCs w:val="20"/>
    </w:rPr>
  </w:style>
  <w:style w:type="paragraph" w:styleId="20">
    <w:name w:val="toc 9"/>
    <w:basedOn w:val="1"/>
    <w:next w:val="1"/>
    <w:autoRedefine/>
    <w:semiHidden/>
    <w:unhideWhenUsed/>
    <w:qFormat/>
    <w:uiPriority w:val="39"/>
    <w:pPr>
      <w:ind w:left="1680"/>
      <w:jc w:val="left"/>
    </w:pPr>
    <w:rPr>
      <w:rFonts w:eastAsiaTheme="minorHAnsi"/>
      <w:sz w:val="20"/>
      <w:szCs w:val="20"/>
    </w:rPr>
  </w:style>
  <w:style w:type="paragraph" w:styleId="21">
    <w:name w:val="annotation subject"/>
    <w:basedOn w:val="8"/>
    <w:next w:val="8"/>
    <w:link w:val="35"/>
    <w:unhideWhenUsed/>
    <w:qFormat/>
    <w:uiPriority w:val="99"/>
    <w:rPr>
      <w:b/>
      <w:bCs/>
    </w:rPr>
  </w:style>
  <w:style w:type="table" w:styleId="23">
    <w:name w:val="Table Grid"/>
    <w:basedOn w:val="22"/>
    <w:qFormat/>
    <w:uiPriority w:val="39"/>
    <w:rPr>
      <w:rFonts w:asciiTheme="minorHAnsi" w:hAnsiTheme="minorHAnsi" w:eastAsiaTheme="minorEastAsia" w:cstheme="minorBidi"/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5">
    <w:name w:val="Hyperlink"/>
    <w:basedOn w:val="2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6">
    <w:name w:val="annotation reference"/>
    <w:basedOn w:val="24"/>
    <w:unhideWhenUsed/>
    <w:qFormat/>
    <w:uiPriority w:val="99"/>
    <w:rPr>
      <w:sz w:val="21"/>
      <w:szCs w:val="21"/>
    </w:rPr>
  </w:style>
  <w:style w:type="character" w:customStyle="1" w:styleId="27">
    <w:name w:val="页眉 字符"/>
    <w:basedOn w:val="24"/>
    <w:link w:val="15"/>
    <w:qFormat/>
    <w:uiPriority w:val="99"/>
    <w:rPr>
      <w:sz w:val="18"/>
      <w:szCs w:val="18"/>
    </w:rPr>
  </w:style>
  <w:style w:type="character" w:customStyle="1" w:styleId="28">
    <w:name w:val="页脚 字符"/>
    <w:basedOn w:val="24"/>
    <w:link w:val="14"/>
    <w:qFormat/>
    <w:uiPriority w:val="99"/>
    <w:rPr>
      <w:sz w:val="18"/>
      <w:szCs w:val="18"/>
    </w:rPr>
  </w:style>
  <w:style w:type="character" w:customStyle="1" w:styleId="29">
    <w:name w:val="标题 1 字符"/>
    <w:basedOn w:val="24"/>
    <w:link w:val="2"/>
    <w:qFormat/>
    <w:uiPriority w:val="9"/>
    <w:rPr>
      <w:b/>
      <w:bCs/>
      <w:kern w:val="44"/>
      <w:sz w:val="44"/>
      <w:szCs w:val="44"/>
    </w:rPr>
  </w:style>
  <w:style w:type="character" w:customStyle="1" w:styleId="30">
    <w:name w:val="日期 字符"/>
    <w:basedOn w:val="24"/>
    <w:link w:val="12"/>
    <w:semiHidden/>
    <w:qFormat/>
    <w:uiPriority w:val="99"/>
  </w:style>
  <w:style w:type="paragraph" w:customStyle="1" w:styleId="31">
    <w:name w:val="列出段落1"/>
    <w:basedOn w:val="1"/>
    <w:qFormat/>
    <w:uiPriority w:val="34"/>
    <w:pPr>
      <w:ind w:firstLine="420" w:firstLineChars="200"/>
    </w:pPr>
  </w:style>
  <w:style w:type="paragraph" w:customStyle="1" w:styleId="32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33">
    <w:name w:val="批注框文本 字符"/>
    <w:basedOn w:val="24"/>
    <w:link w:val="13"/>
    <w:semiHidden/>
    <w:qFormat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34">
    <w:name w:val="批注文字 字符"/>
    <w:basedOn w:val="24"/>
    <w:link w:val="8"/>
    <w:semiHidden/>
    <w:qFormat/>
    <w:uiPriority w:val="99"/>
    <w:rPr>
      <w:rFonts w:asciiTheme="minorHAnsi" w:hAnsiTheme="minorHAnsi" w:eastAsiaTheme="minorEastAsia" w:cstheme="minorBidi"/>
      <w:kern w:val="2"/>
      <w:sz w:val="21"/>
      <w:szCs w:val="22"/>
    </w:rPr>
  </w:style>
  <w:style w:type="character" w:customStyle="1" w:styleId="35">
    <w:name w:val="批注主题 字符"/>
    <w:basedOn w:val="34"/>
    <w:link w:val="21"/>
    <w:semiHidden/>
    <w:qFormat/>
    <w:uiPriority w:val="99"/>
    <w:rPr>
      <w:rFonts w:asciiTheme="minorHAnsi" w:hAnsiTheme="minorHAnsi" w:eastAsiaTheme="minorEastAsia" w:cstheme="minorBidi"/>
      <w:b/>
      <w:bCs/>
      <w:kern w:val="2"/>
      <w:sz w:val="21"/>
      <w:szCs w:val="22"/>
    </w:rPr>
  </w:style>
  <w:style w:type="character" w:customStyle="1" w:styleId="36">
    <w:name w:val="文档结构图 字符"/>
    <w:basedOn w:val="24"/>
    <w:link w:val="7"/>
    <w:semiHidden/>
    <w:qFormat/>
    <w:uiPriority w:val="99"/>
    <w:rPr>
      <w:rFonts w:ascii="宋体" w:hAnsiTheme="minorHAnsi" w:cstheme="minorBidi"/>
      <w:kern w:val="2"/>
      <w:sz w:val="24"/>
      <w:szCs w:val="24"/>
    </w:rPr>
  </w:style>
  <w:style w:type="character" w:customStyle="1" w:styleId="37">
    <w:name w:val="标题 3 字符"/>
    <w:basedOn w:val="24"/>
    <w:link w:val="4"/>
    <w:qFormat/>
    <w:uiPriority w:val="9"/>
    <w:rPr>
      <w:rFonts w:asciiTheme="minorHAnsi" w:hAnsiTheme="minorHAnsi" w:eastAsiaTheme="minorEastAsia" w:cstheme="minorBidi"/>
      <w:b/>
      <w:bCs/>
      <w:kern w:val="2"/>
      <w:sz w:val="32"/>
      <w:szCs w:val="32"/>
    </w:rPr>
  </w:style>
  <w:style w:type="paragraph" w:customStyle="1" w:styleId="38">
    <w:name w:val="修订1"/>
    <w:hidden/>
    <w:semiHidden/>
    <w:qFormat/>
    <w:uiPriority w:val="99"/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39">
    <w:name w:val="列出段落2"/>
    <w:basedOn w:val="1"/>
    <w:qFormat/>
    <w:uiPriority w:val="99"/>
    <w:pPr>
      <w:ind w:firstLine="420" w:firstLineChars="200"/>
    </w:pPr>
  </w:style>
  <w:style w:type="character" w:customStyle="1" w:styleId="40">
    <w:name w:val="标题 2 字符"/>
    <w:basedOn w:val="24"/>
    <w:link w:val="3"/>
    <w:qFormat/>
    <w:uiPriority w:val="9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paragraph" w:styleId="41">
    <w:name w:val="List Paragraph"/>
    <w:basedOn w:val="1"/>
    <w:qFormat/>
    <w:uiPriority w:val="34"/>
    <w:pPr>
      <w:ind w:firstLine="420" w:firstLineChars="200"/>
    </w:pPr>
  </w:style>
  <w:style w:type="paragraph" w:customStyle="1" w:styleId="42">
    <w:name w:val="TOC Heading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2E75B6" w:themeColor="accent1" w:themeShade="BF"/>
      <w:kern w:val="0"/>
      <w:sz w:val="28"/>
      <w:szCs w:val="28"/>
    </w:rPr>
  </w:style>
  <w:style w:type="paragraph" w:customStyle="1" w:styleId="43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44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45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numbering" Target="numbering.xml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D1CAD0C-E9DD-40ED-8E4E-F1EE16DE73D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2860</Words>
  <Characters>2971</Characters>
  <Lines>28</Lines>
  <Paragraphs>7</Paragraphs>
  <TotalTime>51</TotalTime>
  <ScaleCrop>false</ScaleCrop>
  <LinksUpToDate>false</LinksUpToDate>
  <CharactersWithSpaces>3005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2021-10-14T01:25:00Z</dcterms:created>
  <dc:creator>000003</dc:creator>
  <cp:lastModifiedBy>胡丰</cp:lastModifiedBy>
  <dcterms:modified xsi:type="dcterms:W3CDTF">2024-12-18T06:00:44Z</dcterms:modified>
  <cp:revision>480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B851329637B14B839D5E2426E4621FBB_12</vt:lpwstr>
  </property>
</Properties>
</file>