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Working as an IT analyst, at BallotOnline I understand the importance of addressing the increasing demands on our IT infrastructure. With BallotOnline being a leading provider of voting solutions our rapid growth has strained our infrastructure. To stay ahead and support our expansion we need to consider moving our infrastructure to a cloud. This assessment aims to present a case for this shift outlining the advantages, potential obstacles and financial impacts of embracing cloud computing.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Cloud computing has emerged as a game changing technology that provides a scalable and cost efficient option compared to in house setups. The National Institute of Standards and Technology (NIST) defines cloud computing as a model that allows access to shared computing resources like networks, servers, storage, applications and services on demand with management effort or service provider interaction (Mell &amp; Grance 2011). This definition captures the features of cloud computing; self service access whenever needed network availability, resource pooling for efficiency gains quick scalability based on needs and pay, as you go services.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will explore the principles of cloud technology assessing their importance and advantages, for BallotOnline. We will analyze the pros and cons of cloud computing conduct a review to understand the impact and determine the necessary business requirements for a successful transition. Additionally we will conduct a SWOT analysis to evaluate the strengths, weaknesses, opportunities and threats associated with adopting cloud infrastructure.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Considering BallotOnlines growth trajectory and the constraints of our existing IT infrastructure transitioning to a cloud presents a strategic opportunity to enhance efficiency, lower expenses and increase scalability. By embracing cloud technology BallotOnline can position itself effectively for growth and innovation in the global voting solutions sector. This shift will not meet our needs but also establish a strong base, for future technological progress and business expansion.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