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7E39" w:rsidRDefault="00187E39" w:rsidP="00B205E7"/>
    <w:p w:rsidR="00187E39" w:rsidRDefault="00187E39" w:rsidP="00B205E7"/>
    <w:p w:rsidR="00187E39" w:rsidRDefault="00187E39" w:rsidP="00B205E7"/>
    <w:p w:rsidR="00187E39" w:rsidRDefault="00187E39" w:rsidP="00B205E7"/>
    <w:p w:rsidR="00187E39" w:rsidRDefault="00187E39" w:rsidP="00B205E7"/>
    <w:p w:rsidR="00187E39" w:rsidRDefault="00187E39" w:rsidP="00B205E7"/>
    <w:p w:rsidR="00187E39" w:rsidRDefault="00187E39" w:rsidP="00B205E7"/>
    <w:p w:rsidR="00187E39" w:rsidRDefault="00187E39" w:rsidP="00187E39"/>
    <w:p w:rsidR="00187E39" w:rsidRPr="00187E39" w:rsidRDefault="00187E39" w:rsidP="00187E39">
      <w:pPr>
        <w:jc w:val="center"/>
        <w:rPr>
          <w:b/>
        </w:rPr>
      </w:pPr>
      <w:r w:rsidRPr="00187E39">
        <w:rPr>
          <w:b/>
        </w:rPr>
        <w:t xml:space="preserve">Project 2: </w:t>
      </w:r>
      <w:r w:rsidRPr="00187E39">
        <w:rPr>
          <w:b/>
        </w:rPr>
        <w:t>Legal and Compliance</w:t>
      </w:r>
    </w:p>
    <w:p w:rsidR="00187E39" w:rsidRDefault="00187E39" w:rsidP="00187E39">
      <w:pPr>
        <w:jc w:val="center"/>
      </w:pPr>
    </w:p>
    <w:p w:rsidR="00187E39" w:rsidRDefault="00187E39" w:rsidP="00187E39">
      <w:pPr>
        <w:jc w:val="center"/>
      </w:pPr>
    </w:p>
    <w:p w:rsidR="00187E39" w:rsidRDefault="00187E39" w:rsidP="00187E39">
      <w:pPr>
        <w:jc w:val="center"/>
      </w:pPr>
      <w:r>
        <w:t>Matthew Santiago</w:t>
      </w:r>
    </w:p>
    <w:p w:rsidR="00187E39" w:rsidRDefault="00187E39" w:rsidP="00187E39">
      <w:pPr>
        <w:jc w:val="center"/>
      </w:pPr>
      <w:r>
        <w:t>University of Maryland Global Campus</w:t>
      </w:r>
    </w:p>
    <w:p w:rsidR="00187E39" w:rsidRDefault="00187E39" w:rsidP="00187E39">
      <w:pPr>
        <w:jc w:val="center"/>
      </w:pPr>
      <w:r>
        <w:t>CCS 610 Cloud Services and Technologies</w:t>
      </w:r>
    </w:p>
    <w:p w:rsidR="00187E39" w:rsidRDefault="00187E39" w:rsidP="00187E39">
      <w:pPr>
        <w:jc w:val="center"/>
      </w:pPr>
      <w:proofErr w:type="spellStart"/>
      <w:r>
        <w:t>Jelena</w:t>
      </w:r>
      <w:proofErr w:type="spellEnd"/>
      <w:r>
        <w:t xml:space="preserve"> </w:t>
      </w:r>
      <w:proofErr w:type="spellStart"/>
      <w:r>
        <w:t>Vucetic</w:t>
      </w:r>
      <w:proofErr w:type="spellEnd"/>
    </w:p>
    <w:p w:rsidR="00187E39" w:rsidRDefault="00187E39" w:rsidP="00187E39">
      <w:pPr>
        <w:jc w:val="center"/>
      </w:pPr>
      <w:r>
        <w:t xml:space="preserve">August </w:t>
      </w:r>
      <w:r>
        <w:t>20</w:t>
      </w:r>
      <w:r>
        <w:t>, 2024</w:t>
      </w:r>
    </w:p>
    <w:p w:rsidR="00187E39" w:rsidRDefault="00187E39" w:rsidP="00187E39"/>
    <w:p w:rsidR="00187E39" w:rsidRDefault="00187E39" w:rsidP="00187E39"/>
    <w:p w:rsidR="00187E39" w:rsidRDefault="00187E39" w:rsidP="00187E39"/>
    <w:p w:rsidR="00187E39" w:rsidRDefault="00187E39" w:rsidP="00187E39"/>
    <w:p w:rsidR="00187E39" w:rsidRDefault="00187E39" w:rsidP="00187E39"/>
    <w:p w:rsidR="00187E39" w:rsidRDefault="00187E39" w:rsidP="00187E39"/>
    <w:p w:rsidR="00187E39" w:rsidRDefault="00187E39" w:rsidP="00187E39"/>
    <w:p w:rsidR="00187E39" w:rsidRDefault="00187E39" w:rsidP="00187E39"/>
    <w:p w:rsidR="00187E39" w:rsidRDefault="00187E39" w:rsidP="00187E39"/>
    <w:p w:rsidR="00187E39" w:rsidRDefault="00187E39" w:rsidP="00187E39"/>
    <w:p w:rsidR="00187E39" w:rsidRDefault="00187E39" w:rsidP="00187E39"/>
    <w:p w:rsidR="00187E39" w:rsidRDefault="00187E39" w:rsidP="00B205E7"/>
    <w:p w:rsidR="00E9660D" w:rsidRDefault="00277CD9" w:rsidP="005D7072">
      <w:pPr>
        <w:spacing w:line="480" w:lineRule="auto"/>
        <w:ind w:firstLine="720"/>
      </w:pPr>
      <w:r>
        <w:lastRenderedPageBreak/>
        <w:t>As we continue to assess</w:t>
      </w:r>
      <w:r w:rsidRPr="00277CD9">
        <w:t xml:space="preserve"> </w:t>
      </w:r>
      <w:r>
        <w:t>the</w:t>
      </w:r>
      <w:r w:rsidRPr="00277CD9">
        <w:t xml:space="preserve"> </w:t>
      </w:r>
      <w:r>
        <w:t xml:space="preserve">different </w:t>
      </w:r>
      <w:r w:rsidRPr="00277CD9">
        <w:t xml:space="preserve">legal and compliance approaches </w:t>
      </w:r>
      <w:r>
        <w:t xml:space="preserve">for </w:t>
      </w:r>
      <w:proofErr w:type="spellStart"/>
      <w:r>
        <w:t>BallotOnline’s</w:t>
      </w:r>
      <w:proofErr w:type="spellEnd"/>
      <w:r w:rsidRPr="00277CD9">
        <w:t xml:space="preserve"> </w:t>
      </w:r>
      <w:r>
        <w:t>transition</w:t>
      </w:r>
      <w:r w:rsidRPr="00277CD9">
        <w:t xml:space="preserve"> to </w:t>
      </w:r>
      <w:r>
        <w:t xml:space="preserve">the </w:t>
      </w:r>
      <w:r w:rsidRPr="00277CD9">
        <w:t>cloud</w:t>
      </w:r>
      <w:r>
        <w:t>, it is</w:t>
      </w:r>
      <w:r w:rsidRPr="00277CD9">
        <w:t xml:space="preserve"> important to </w:t>
      </w:r>
      <w:r>
        <w:t>combine</w:t>
      </w:r>
      <w:r w:rsidRPr="00277CD9">
        <w:t xml:space="preserve"> IT frameworks and legal practices to successfully predict and prevent potential legal or regulatory challenges. Three key frameworks for consideration </w:t>
      </w:r>
      <w:r>
        <w:t>are</w:t>
      </w:r>
      <w:r w:rsidRPr="00277CD9">
        <w:t xml:space="preserve"> COBIT, ISO 27001 and the NIST Cybersecurity Framework (CSF).</w:t>
      </w:r>
      <w:r>
        <w:t xml:space="preserve"> </w:t>
      </w:r>
      <w:r w:rsidR="0087185D">
        <w:t>These frameworks were chosen because they</w:t>
      </w:r>
      <w:r w:rsidR="00E9660D">
        <w:t xml:space="preserve"> </w:t>
      </w:r>
      <w:r w:rsidR="0087185D">
        <w:t>support</w:t>
      </w:r>
      <w:r w:rsidR="00E9660D">
        <w:t xml:space="preserve"> </w:t>
      </w:r>
      <w:proofErr w:type="spellStart"/>
      <w:r w:rsidR="0087185D">
        <w:t>BallotOnline</w:t>
      </w:r>
      <w:r w:rsidR="006C4462">
        <w:t>’s</w:t>
      </w:r>
      <w:proofErr w:type="spellEnd"/>
      <w:r w:rsidR="0087185D">
        <w:t xml:space="preserve"> </w:t>
      </w:r>
      <w:r w:rsidR="00E9660D">
        <w:t xml:space="preserve">IT goals </w:t>
      </w:r>
      <w:r w:rsidR="0087185D">
        <w:t>and</w:t>
      </w:r>
      <w:r w:rsidR="00E9660D">
        <w:t xml:space="preserve"> b</w:t>
      </w:r>
      <w:bookmarkStart w:id="0" w:name="_GoBack"/>
      <w:bookmarkEnd w:id="0"/>
      <w:r w:rsidR="00E9660D">
        <w:t xml:space="preserve">usiness objectives while </w:t>
      </w:r>
      <w:r w:rsidR="0087185D">
        <w:t>making sure</w:t>
      </w:r>
      <w:r w:rsidR="00E9660D">
        <w:t xml:space="preserve"> regulations</w:t>
      </w:r>
      <w:r w:rsidR="0087185D">
        <w:t xml:space="preserve"> are followed and </w:t>
      </w:r>
      <w:r w:rsidR="00E9660D">
        <w:t>data</w:t>
      </w:r>
      <w:r w:rsidR="0087185D">
        <w:t xml:space="preserve"> is secured</w:t>
      </w:r>
      <w:r w:rsidR="00E9660D">
        <w:t xml:space="preserve">. COBIT </w:t>
      </w:r>
      <w:r w:rsidR="00B205E7">
        <w:t>“</w:t>
      </w:r>
      <w:r w:rsidR="00B205E7" w:rsidRPr="00B205E7">
        <w:t>is an IT management framework developed by the ISACA to help businesses develop, organize, and implement strategies around information management and IT governance</w:t>
      </w:r>
      <w:r w:rsidR="00B205E7">
        <w:t>”</w:t>
      </w:r>
      <w:r w:rsidR="00B205E7" w:rsidRPr="00B205E7">
        <w:t xml:space="preserve"> (CIO, 2023). </w:t>
      </w:r>
      <w:r w:rsidR="00B205E7">
        <w:t xml:space="preserve">The goal of COBIT is </w:t>
      </w:r>
      <w:r w:rsidR="00B205E7" w:rsidRPr="00B205E7">
        <w:t>“understanding, designing, and implementing the management and governance of enterprise IT</w:t>
      </w:r>
      <w:r w:rsidR="00B205E7">
        <w:t>”</w:t>
      </w:r>
      <w:r w:rsidR="00B205E7" w:rsidRPr="00B205E7">
        <w:t xml:space="preserve"> (CIO, 2023).</w:t>
      </w:r>
      <w:r w:rsidR="00E9660D">
        <w:t xml:space="preserve"> </w:t>
      </w:r>
      <w:r w:rsidR="00B205E7">
        <w:t xml:space="preserve">These aspects make </w:t>
      </w:r>
      <w:r w:rsidR="00E9660D">
        <w:t xml:space="preserve">it a </w:t>
      </w:r>
      <w:r w:rsidR="00B205E7">
        <w:t>good choice</w:t>
      </w:r>
      <w:r w:rsidR="00E9660D">
        <w:t xml:space="preserve"> </w:t>
      </w:r>
      <w:r w:rsidR="00B205E7">
        <w:t>for our consideration. ISO 27001 is a  standard that “help organizations implement an Information Security Management System which preserves the confidentiality, integrity and availability of information by applying a risk management process and gives confidence to interested parties that risks are adequately managed”</w:t>
      </w:r>
      <w:r w:rsidR="00B205E7" w:rsidRPr="00B205E7">
        <w:t xml:space="preserve"> (ISO, 2013).</w:t>
      </w:r>
      <w:r w:rsidR="00B205E7">
        <w:t xml:space="preserve"> The ISO 27001 includes</w:t>
      </w:r>
      <w:r w:rsidR="00E9660D">
        <w:t xml:space="preserve"> 114 controls </w:t>
      </w:r>
      <w:r w:rsidR="00B205E7">
        <w:t>which are categorized through</w:t>
      </w:r>
      <w:r w:rsidR="00E9660D">
        <w:t xml:space="preserve"> 14 sections </w:t>
      </w:r>
      <w:r w:rsidR="00B205E7">
        <w:t>which provide a</w:t>
      </w:r>
      <w:r w:rsidR="00E9660D">
        <w:t xml:space="preserve"> </w:t>
      </w:r>
      <w:r w:rsidR="00B205E7">
        <w:t>complete</w:t>
      </w:r>
      <w:r w:rsidR="00E9660D">
        <w:t xml:space="preserve"> information security </w:t>
      </w:r>
      <w:r w:rsidR="00B205E7">
        <w:t>management system</w:t>
      </w:r>
      <w:r w:rsidR="00E9660D">
        <w:t xml:space="preserve"> (ISO, 2013). NIST CSF </w:t>
      </w:r>
      <w:r w:rsidR="00956CD3">
        <w:t>“</w:t>
      </w:r>
      <w:r w:rsidR="00956CD3" w:rsidRPr="00956CD3">
        <w:t>provides guidance to industry, government agencies, and other organization</w:t>
      </w:r>
      <w:r w:rsidR="00956CD3">
        <w:t xml:space="preserve">s to manage cybersecurity risks” </w:t>
      </w:r>
      <w:r w:rsidR="00956CD3" w:rsidRPr="00956CD3">
        <w:t>(NIST, 2021).</w:t>
      </w:r>
      <w:r w:rsidR="00956CD3">
        <w:t xml:space="preserve"> NIST CSF is a good choice for </w:t>
      </w:r>
      <w:proofErr w:type="spellStart"/>
      <w:r w:rsidR="00956CD3">
        <w:t>BallotOnline</w:t>
      </w:r>
      <w:proofErr w:type="spellEnd"/>
      <w:r w:rsidR="00956CD3">
        <w:t xml:space="preserve"> because it uses CSF Organizational Profiles in conjunction with the CSF Core responsibilities to address</w:t>
      </w:r>
      <w:r w:rsidR="00E9660D">
        <w:t xml:space="preserve"> cybersecurity risks in critical infrastructure </w:t>
      </w:r>
      <w:r w:rsidR="00956CD3">
        <w:t xml:space="preserve">sectors.  Also, due to </w:t>
      </w:r>
      <w:proofErr w:type="spellStart"/>
      <w:r w:rsidR="00956CD3">
        <w:t>BallotOnline</w:t>
      </w:r>
      <w:proofErr w:type="spellEnd"/>
      <w:r w:rsidR="00956CD3">
        <w:t xml:space="preserve"> being a U.S. based company, NIST CSF </w:t>
      </w:r>
      <w:r w:rsidR="00E9660D">
        <w:t>aligns with U.S. Regulat</w:t>
      </w:r>
      <w:r w:rsidR="00956CD3">
        <w:t>ion</w:t>
      </w:r>
      <w:r w:rsidR="00E9660D">
        <w:t xml:space="preserve"> standards</w:t>
      </w:r>
      <w:r w:rsidR="00956CD3">
        <w:t xml:space="preserve"> which will enable </w:t>
      </w:r>
      <w:proofErr w:type="spellStart"/>
      <w:r w:rsidR="00956CD3">
        <w:t>BallotOnline</w:t>
      </w:r>
      <w:proofErr w:type="spellEnd"/>
      <w:r w:rsidR="00956CD3">
        <w:t xml:space="preserve"> to meet U.S. election requirements</w:t>
      </w:r>
    </w:p>
    <w:p w:rsidR="00E9660D" w:rsidRDefault="00956CD3" w:rsidP="005D7072">
      <w:pPr>
        <w:spacing w:line="480" w:lineRule="auto"/>
        <w:ind w:firstLine="720"/>
      </w:pPr>
      <w:r>
        <w:t>IT f</w:t>
      </w:r>
      <w:r w:rsidR="0030673F">
        <w:t>rameworks support and reduce risks in the management of information systems, but they do not provide legal analysis.</w:t>
      </w:r>
      <w:r w:rsidR="00E9660D">
        <w:t xml:space="preserve"> </w:t>
      </w:r>
      <w:r w:rsidR="0030673F">
        <w:t>T</w:t>
      </w:r>
      <w:r w:rsidR="00E9660D">
        <w:t>he IRAC</w:t>
      </w:r>
      <w:r w:rsidR="0030673F">
        <w:t xml:space="preserve"> (Issue, Rule, Application, </w:t>
      </w:r>
      <w:proofErr w:type="gramStart"/>
      <w:r w:rsidR="0030673F">
        <w:t>Conclusion</w:t>
      </w:r>
      <w:proofErr w:type="gramEnd"/>
      <w:r w:rsidR="0030673F">
        <w:t>)</w:t>
      </w:r>
      <w:r w:rsidR="00E9660D">
        <w:t xml:space="preserve"> is recommended for handling legal issues in a structured manner.</w:t>
      </w:r>
      <w:r w:rsidR="0030673F">
        <w:t xml:space="preserve"> The IRAC is used “</w:t>
      </w:r>
      <w:r w:rsidR="0030673F" w:rsidRPr="0030673F">
        <w:t>to evaluate specific legal issues in the argument or discussion</w:t>
      </w:r>
      <w:r w:rsidR="0030673F">
        <w:t>”</w:t>
      </w:r>
      <w:r w:rsidR="0030673F" w:rsidRPr="0030673F">
        <w:t xml:space="preserve"> (Columbia Law School, 2022).</w:t>
      </w:r>
      <w:r w:rsidR="0030673F">
        <w:t xml:space="preserve"> By Stating the issue, finding and describing legal rules that govern the issue, applying the rules to the facts, then summarizing the findings </w:t>
      </w:r>
      <w:r w:rsidR="0030673F" w:rsidRPr="0030673F">
        <w:t xml:space="preserve">(Columbia Law School, </w:t>
      </w:r>
      <w:r w:rsidR="0030673F" w:rsidRPr="0030673F">
        <w:lastRenderedPageBreak/>
        <w:t>2022)</w:t>
      </w:r>
      <w:r w:rsidR="0030673F">
        <w:t xml:space="preserve"> we can anticipate legal and regulatory </w:t>
      </w:r>
      <w:r w:rsidR="004C1647">
        <w:t>issues. C</w:t>
      </w:r>
      <w:r w:rsidR="00E9660D">
        <w:t xml:space="preserve">ombining the NIST CSF with IRAC, </w:t>
      </w:r>
      <w:proofErr w:type="spellStart"/>
      <w:r w:rsidR="00E9660D">
        <w:t>BallotOnline</w:t>
      </w:r>
      <w:proofErr w:type="spellEnd"/>
      <w:r w:rsidR="00E9660D">
        <w:t xml:space="preserve"> can improve its cybersecurity risk management practices while conducting in depth legal analyses. </w:t>
      </w:r>
    </w:p>
    <w:p w:rsidR="00E9660D" w:rsidRDefault="00E9660D" w:rsidP="005D7072">
      <w:pPr>
        <w:spacing w:line="480" w:lineRule="auto"/>
        <w:ind w:firstLine="720"/>
      </w:pPr>
      <w:proofErr w:type="spellStart"/>
      <w:r>
        <w:t>BallotOnline</w:t>
      </w:r>
      <w:proofErr w:type="spellEnd"/>
      <w:r>
        <w:t xml:space="preserve"> </w:t>
      </w:r>
      <w:r w:rsidR="003C6018">
        <w:t xml:space="preserve">operates from the </w:t>
      </w:r>
      <w:r>
        <w:t>United S</w:t>
      </w:r>
      <w:r w:rsidR="003C6018">
        <w:t>tates and</w:t>
      </w:r>
      <w:r>
        <w:t xml:space="preserve"> adherence to federal and state regulations </w:t>
      </w:r>
      <w:r w:rsidR="003C6018">
        <w:t>regarding</w:t>
      </w:r>
      <w:r>
        <w:t xml:space="preserve"> data protection, privacy and cybersecurity is </w:t>
      </w:r>
      <w:r w:rsidR="003C6018">
        <w:t>important</w:t>
      </w:r>
      <w:r>
        <w:t>.</w:t>
      </w:r>
      <w:r w:rsidR="003C6018">
        <w:t xml:space="preserve"> In elections</w:t>
      </w:r>
      <w:r>
        <w:t xml:space="preserve">, it is </w:t>
      </w:r>
      <w:r w:rsidR="003C6018">
        <w:t>essential</w:t>
      </w:r>
      <w:r>
        <w:t xml:space="preserve"> to follow strict security and privacy standards set by laws and guidelines from</w:t>
      </w:r>
      <w:r w:rsidR="003C6018">
        <w:t xml:space="preserve"> organizations like</w:t>
      </w:r>
      <w:r>
        <w:t xml:space="preserve"> the Election Assistance Commission (EAC)</w:t>
      </w:r>
      <w:r w:rsidR="003C6018">
        <w:t xml:space="preserve"> or NIST</w:t>
      </w:r>
      <w:r>
        <w:t xml:space="preserve">. </w:t>
      </w:r>
      <w:r w:rsidR="005B34C8">
        <w:t>I</w:t>
      </w:r>
      <w:r>
        <w:t>nternatio</w:t>
      </w:r>
      <w:r w:rsidR="005B34C8">
        <w:t>nally</w:t>
      </w:r>
      <w:r>
        <w:t>, compliance with</w:t>
      </w:r>
      <w:r w:rsidR="005B34C8">
        <w:t xml:space="preserve"> other countries regulations </w:t>
      </w:r>
      <w:r w:rsidR="00023D76">
        <w:t xml:space="preserve">will be challenging </w:t>
      </w:r>
      <w:r w:rsidR="00023D76" w:rsidRPr="00023D76">
        <w:t>due to the vast amount of countries and laws</w:t>
      </w:r>
      <w:r w:rsidR="00023D76">
        <w:t xml:space="preserve">. For example, </w:t>
      </w:r>
      <w:r>
        <w:t>the European Union's General Data Protection Regulation (GDPR)</w:t>
      </w:r>
      <w:r w:rsidR="00023D76">
        <w:t xml:space="preserve"> can</w:t>
      </w:r>
      <w:r>
        <w:t xml:space="preserve"> pose</w:t>
      </w:r>
      <w:r w:rsidR="00023D76">
        <w:t xml:space="preserve"> a significant challenge, not due to collecting and processing the data or controls but the data protection requirements for system certification may be more significant and intensive than in the United States</w:t>
      </w:r>
      <w:r w:rsidR="00FB420C" w:rsidRPr="00FB420C">
        <w:t xml:space="preserve"> (</w:t>
      </w:r>
      <w:proofErr w:type="spellStart"/>
      <w:r w:rsidR="00FB420C" w:rsidRPr="00FB420C">
        <w:t>Proofpoint</w:t>
      </w:r>
      <w:proofErr w:type="spellEnd"/>
      <w:r w:rsidR="00FB420C" w:rsidRPr="00FB420C">
        <w:t xml:space="preserve">, </w:t>
      </w:r>
      <w:proofErr w:type="spellStart"/>
      <w:r w:rsidR="00FB420C" w:rsidRPr="00FB420C">
        <w:t>n.d.</w:t>
      </w:r>
      <w:proofErr w:type="spellEnd"/>
      <w:r w:rsidR="00FB420C" w:rsidRPr="00FB420C">
        <w:t>)</w:t>
      </w:r>
      <w:r w:rsidR="005B34C8">
        <w:t xml:space="preserve">. </w:t>
      </w:r>
      <w:r w:rsidR="00FB420C">
        <w:t xml:space="preserve">Creating </w:t>
      </w:r>
      <w:r>
        <w:t xml:space="preserve">a balance between </w:t>
      </w:r>
      <w:r w:rsidR="00FB420C">
        <w:t>other countries</w:t>
      </w:r>
      <w:r>
        <w:t xml:space="preserve"> </w:t>
      </w:r>
      <w:r w:rsidR="00FB420C">
        <w:t xml:space="preserve">regulations and U.S. Laws </w:t>
      </w:r>
      <w:r>
        <w:t xml:space="preserve">is </w:t>
      </w:r>
      <w:r w:rsidR="00FB420C">
        <w:t xml:space="preserve">important to </w:t>
      </w:r>
      <w:proofErr w:type="spellStart"/>
      <w:r w:rsidR="00FB420C">
        <w:t>BallotOnline</w:t>
      </w:r>
      <w:proofErr w:type="spellEnd"/>
      <w:r w:rsidR="00FB420C">
        <w:t xml:space="preserve"> operations.</w:t>
      </w:r>
    </w:p>
    <w:p w:rsidR="00EB08AF" w:rsidRDefault="006F071E" w:rsidP="005D7072">
      <w:pPr>
        <w:spacing w:line="480" w:lineRule="auto"/>
        <w:ind w:firstLine="720"/>
      </w:pPr>
      <w:r>
        <w:t xml:space="preserve">In order to make </w:t>
      </w:r>
      <w:r w:rsidR="006D2C9C">
        <w:t xml:space="preserve">that </w:t>
      </w:r>
      <w:proofErr w:type="spellStart"/>
      <w:r w:rsidR="006D2C9C">
        <w:t>BallotOnline</w:t>
      </w:r>
      <w:proofErr w:type="spellEnd"/>
      <w:r w:rsidR="006D2C9C">
        <w:t xml:space="preserve"> complies with regulations and protects the data stored in our system, it is essential to establish a compliance plan. First, all sensitive data should be encrypted, whether it is at rest, in use or in transit, to prevent unauthorized access. “Encryption is usually used to ensure the confidentiality of data</w:t>
      </w:r>
      <w:proofErr w:type="gramStart"/>
      <w:r w:rsidR="006D2C9C">
        <w:t>”(</w:t>
      </w:r>
      <w:proofErr w:type="gramEnd"/>
      <w:r w:rsidR="006D2C9C">
        <w:t>Sun et al., 2014). Second, monitoring data integrity, “Data integrity can be obtained by techniques such as RAID-like strategies and digital signature</w:t>
      </w:r>
      <w:proofErr w:type="gramStart"/>
      <w:r w:rsidR="006D2C9C">
        <w:t>”(</w:t>
      </w:r>
      <w:proofErr w:type="gramEnd"/>
      <w:r w:rsidR="006D2C9C">
        <w:t>Sun et al., 2014). Third, implementing a data classification policy. “</w:t>
      </w:r>
      <w:r w:rsidR="006D2C9C" w:rsidRPr="006D2C9C">
        <w:t>Designing and implementing control objectives to meet the enterprise compliance requirements</w:t>
      </w:r>
      <w:r w:rsidR="006D2C9C">
        <w:t>”</w:t>
      </w:r>
      <w:r w:rsidR="006D2C9C" w:rsidRPr="006D2C9C">
        <w:t xml:space="preserve"> </w:t>
      </w:r>
      <w:r w:rsidR="006D2C9C">
        <w:t xml:space="preserve">(Amazon Web Services [AWS], 2021). Using these steps, </w:t>
      </w:r>
      <w:proofErr w:type="spellStart"/>
      <w:r w:rsidR="006D2C9C">
        <w:t>BallotOnline</w:t>
      </w:r>
      <w:proofErr w:type="spellEnd"/>
      <w:r w:rsidR="006D2C9C">
        <w:t xml:space="preserve"> can create a compliance policy and </w:t>
      </w:r>
      <w:r w:rsidR="00EB08AF">
        <w:t>protect</w:t>
      </w:r>
      <w:r w:rsidR="006D2C9C">
        <w:t xml:space="preserve"> the data stored in the cloud. </w:t>
      </w:r>
    </w:p>
    <w:p w:rsidR="00187E39" w:rsidRDefault="00187E39" w:rsidP="006D2C9C"/>
    <w:p w:rsidR="00187E39" w:rsidRDefault="00187E39" w:rsidP="006D2C9C"/>
    <w:p w:rsidR="00187E39" w:rsidRDefault="00187E39" w:rsidP="006D2C9C"/>
    <w:p w:rsidR="00187E39" w:rsidRDefault="00187E39" w:rsidP="006D2C9C"/>
    <w:p w:rsidR="00187E39" w:rsidRDefault="00187E39" w:rsidP="006D2C9C"/>
    <w:p w:rsidR="00E9660D" w:rsidRPr="00187E39" w:rsidRDefault="00E9660D" w:rsidP="00187E39">
      <w:pPr>
        <w:jc w:val="center"/>
        <w:rPr>
          <w:b/>
        </w:rPr>
      </w:pPr>
      <w:r w:rsidRPr="00187E39">
        <w:rPr>
          <w:b/>
        </w:rPr>
        <w:lastRenderedPageBreak/>
        <w:t>References</w:t>
      </w:r>
    </w:p>
    <w:p w:rsidR="00EB08AF" w:rsidRDefault="00EB08AF" w:rsidP="006D2C9C">
      <w:r w:rsidRPr="00EB08AF">
        <w:t xml:space="preserve">Amazon Web Services. (2021). Amazon Web Services: Risk and compliance - AWS whitepaper. </w:t>
      </w:r>
      <w:hyperlink r:id="rId6" w:history="1">
        <w:r w:rsidRPr="00D17B36">
          <w:rPr>
            <w:rStyle w:val="Hyperlink"/>
          </w:rPr>
          <w:t>https://aws.amazon.com/compliance/</w:t>
        </w:r>
      </w:hyperlink>
      <w:r>
        <w:t xml:space="preserve"> </w:t>
      </w:r>
    </w:p>
    <w:p w:rsidR="00FB420C" w:rsidRDefault="00FB420C" w:rsidP="00E9660D">
      <w:r w:rsidRPr="00FB420C">
        <w:t xml:space="preserve">CIO. (2023). </w:t>
      </w:r>
      <w:proofErr w:type="gramStart"/>
      <w:r w:rsidRPr="00FB420C">
        <w:t>What</w:t>
      </w:r>
      <w:proofErr w:type="gramEnd"/>
      <w:r w:rsidRPr="00FB420C">
        <w:t xml:space="preserve"> is COBIT? A framework for alignment and governance. CIO. </w:t>
      </w:r>
      <w:hyperlink r:id="rId7" w:history="1">
        <w:r w:rsidR="00EB08AF" w:rsidRPr="00D17B36">
          <w:rPr>
            <w:rStyle w:val="Hyperlink"/>
          </w:rPr>
          <w:t>https://www.cio.com/article/228151/what-is-cobit-a-framework-for-alignment-and-governance.html</w:t>
        </w:r>
      </w:hyperlink>
      <w:r w:rsidR="00EB08AF">
        <w:t xml:space="preserve"> </w:t>
      </w:r>
    </w:p>
    <w:p w:rsidR="00E9660D" w:rsidRDefault="00E9660D" w:rsidP="00E9660D">
      <w:r>
        <w:t xml:space="preserve">Cloud Security Alliance. (2020). CSA’s perspective on cloud risk management. Cloud Security Alliance. </w:t>
      </w:r>
      <w:hyperlink r:id="rId8" w:history="1">
        <w:r w:rsidR="00EB08AF" w:rsidRPr="00D17B36">
          <w:rPr>
            <w:rStyle w:val="Hyperlink"/>
          </w:rPr>
          <w:t>https://cloudsecurityalliance.org/download/artifacts/csa-s-perspective-on-cloud-risk-management</w:t>
        </w:r>
      </w:hyperlink>
      <w:r w:rsidR="00EB08AF">
        <w:t xml:space="preserve"> </w:t>
      </w:r>
    </w:p>
    <w:p w:rsidR="00E9660D" w:rsidRDefault="00E9660D" w:rsidP="00E9660D">
      <w:r>
        <w:t xml:space="preserve">Columbia Law School. (2022). IRAC, CRAC, CREAC: Legal analysis frameworks. Columbia Law School. </w:t>
      </w:r>
      <w:hyperlink r:id="rId9" w:history="1">
        <w:r w:rsidR="00EB08AF" w:rsidRPr="00D17B36">
          <w:rPr>
            <w:rStyle w:val="Hyperlink"/>
          </w:rPr>
          <w:t>https://www.law.columbia.edu/sites/default/files/2022-06/WC%20Handout%20IRAC%2C%20CRAC%2C%20CREAC.revised%205.22.pdf</w:t>
        </w:r>
      </w:hyperlink>
      <w:r w:rsidR="00EB08AF">
        <w:t xml:space="preserve"> </w:t>
      </w:r>
    </w:p>
    <w:p w:rsidR="00EB08AF" w:rsidRDefault="00EB08AF" w:rsidP="00E9660D">
      <w:r w:rsidRPr="00EB08AF">
        <w:t xml:space="preserve">International Organization for Standardization. (2013). ISO/IEC 27001:2013 - Information technology - Security techniques - Information security management systems - Requirements. </w:t>
      </w:r>
      <w:hyperlink r:id="rId10" w:history="1">
        <w:r w:rsidRPr="00D17B36">
          <w:rPr>
            <w:rStyle w:val="Hyperlink"/>
          </w:rPr>
          <w:t>https://www.cssia.org/wp-content/uploads/2020/01/ISO_27001_Standard.pdf</w:t>
        </w:r>
      </w:hyperlink>
    </w:p>
    <w:p w:rsidR="00E9660D" w:rsidRDefault="00E9660D" w:rsidP="00E9660D">
      <w:r>
        <w:t xml:space="preserve">National Institute of Standards and Technology (NIST). (2021). NIST cybersecurity framework (CSF) 2.0. </w:t>
      </w:r>
      <w:hyperlink r:id="rId11" w:history="1">
        <w:r w:rsidR="00FB420C" w:rsidRPr="00D17B36">
          <w:rPr>
            <w:rStyle w:val="Hyperlink"/>
          </w:rPr>
          <w:t>https://nvlpubs.nist.gov/nistpubs/CSWP/NIST.CSWP.29.pdf</w:t>
        </w:r>
      </w:hyperlink>
    </w:p>
    <w:p w:rsidR="00FB420C" w:rsidRDefault="00FB420C" w:rsidP="00E9660D">
      <w:proofErr w:type="spellStart"/>
      <w:r w:rsidRPr="00FB420C">
        <w:t>Proofpoint</w:t>
      </w:r>
      <w:proofErr w:type="spellEnd"/>
      <w:r w:rsidRPr="00FB420C">
        <w:t>. (</w:t>
      </w:r>
      <w:proofErr w:type="spellStart"/>
      <w:r w:rsidRPr="00FB420C">
        <w:t>n.d.</w:t>
      </w:r>
      <w:proofErr w:type="spellEnd"/>
      <w:r w:rsidRPr="00FB420C">
        <w:t xml:space="preserve">). What is GDPR? Everything you need to know to be compliant. </w:t>
      </w:r>
      <w:proofErr w:type="spellStart"/>
      <w:r w:rsidRPr="00FB420C">
        <w:t>Proofpoint</w:t>
      </w:r>
      <w:proofErr w:type="spellEnd"/>
      <w:r w:rsidRPr="00FB420C">
        <w:t xml:space="preserve">. Retrieved August 20, 2024, from </w:t>
      </w:r>
      <w:hyperlink r:id="rId12" w:history="1">
        <w:r w:rsidR="00EB08AF" w:rsidRPr="00D17B36">
          <w:rPr>
            <w:rStyle w:val="Hyperlink"/>
          </w:rPr>
          <w:t>https://www.proofpoint.com/us/threat-reference/gdpr</w:t>
        </w:r>
      </w:hyperlink>
      <w:r w:rsidR="00EB08AF">
        <w:t xml:space="preserve"> </w:t>
      </w:r>
    </w:p>
    <w:p w:rsidR="00EB08AF" w:rsidRDefault="00EB08AF" w:rsidP="00E9660D">
      <w:r w:rsidRPr="00EB08AF">
        <w:t xml:space="preserve">Sun, Y., Zhang, J., </w:t>
      </w:r>
      <w:proofErr w:type="spellStart"/>
      <w:r w:rsidRPr="00EB08AF">
        <w:t>Xiong</w:t>
      </w:r>
      <w:proofErr w:type="spellEnd"/>
      <w:r w:rsidRPr="00EB08AF">
        <w:t>, Y., &amp; Zhu, G. (2014). Data security and privacy in cloud computing. International Journal of Distributed Sensor Networks, 10(7), 1-9.</w:t>
      </w:r>
    </w:p>
    <w:p w:rsidR="00E9660D" w:rsidRPr="00E9660D" w:rsidRDefault="00E9660D" w:rsidP="00E9660D">
      <w:r>
        <w:t xml:space="preserve">White &amp; Case LLP. (2023). Cybersecurity developments and legal issues. White &amp; Case LLP. </w:t>
      </w:r>
      <w:hyperlink r:id="rId13" w:history="1">
        <w:r w:rsidR="00EB08AF" w:rsidRPr="00D17B36">
          <w:rPr>
            <w:rStyle w:val="Hyperlink"/>
          </w:rPr>
          <w:t>https://www.whitecase.com/insight-alert/cybersecurity-developments-and-legal-issues</w:t>
        </w:r>
      </w:hyperlink>
      <w:r w:rsidR="00EB08AF">
        <w:t xml:space="preserve"> </w:t>
      </w:r>
    </w:p>
    <w:sectPr w:rsidR="00E9660D" w:rsidRPr="00E9660D">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7E39" w:rsidRDefault="00187E39" w:rsidP="00187E39">
      <w:pPr>
        <w:spacing w:after="0" w:line="240" w:lineRule="auto"/>
      </w:pPr>
      <w:r>
        <w:separator/>
      </w:r>
    </w:p>
  </w:endnote>
  <w:endnote w:type="continuationSeparator" w:id="0">
    <w:p w:rsidR="00187E39" w:rsidRDefault="00187E39" w:rsidP="00187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7E39" w:rsidRDefault="00187E39" w:rsidP="00187E39">
      <w:pPr>
        <w:spacing w:after="0" w:line="240" w:lineRule="auto"/>
      </w:pPr>
      <w:r>
        <w:separator/>
      </w:r>
    </w:p>
  </w:footnote>
  <w:footnote w:type="continuationSeparator" w:id="0">
    <w:p w:rsidR="00187E39" w:rsidRDefault="00187E39" w:rsidP="00187E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7312390"/>
      <w:docPartObj>
        <w:docPartGallery w:val="Page Numbers (Top of Page)"/>
        <w:docPartUnique/>
      </w:docPartObj>
    </w:sdtPr>
    <w:sdtEndPr>
      <w:rPr>
        <w:noProof/>
      </w:rPr>
    </w:sdtEndPr>
    <w:sdtContent>
      <w:p w:rsidR="00187E39" w:rsidRDefault="00187E39">
        <w:pPr>
          <w:pStyle w:val="Header"/>
          <w:jc w:val="right"/>
        </w:pPr>
        <w:r>
          <w:fldChar w:fldCharType="begin"/>
        </w:r>
        <w:r>
          <w:instrText xml:space="preserve"> PAGE   \* MERGEFORMAT </w:instrText>
        </w:r>
        <w:r>
          <w:fldChar w:fldCharType="separate"/>
        </w:r>
        <w:r w:rsidR="006C4462">
          <w:rPr>
            <w:noProof/>
          </w:rPr>
          <w:t>4</w:t>
        </w:r>
        <w:r>
          <w:rPr>
            <w:noProof/>
          </w:rPr>
          <w:fldChar w:fldCharType="end"/>
        </w:r>
      </w:p>
    </w:sdtContent>
  </w:sdt>
  <w:p w:rsidR="00187E39" w:rsidRDefault="00187E3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60D"/>
    <w:rsid w:val="00023D76"/>
    <w:rsid w:val="00081EE5"/>
    <w:rsid w:val="00187E39"/>
    <w:rsid w:val="00277CD9"/>
    <w:rsid w:val="0030673F"/>
    <w:rsid w:val="003C6018"/>
    <w:rsid w:val="00401761"/>
    <w:rsid w:val="004C1647"/>
    <w:rsid w:val="005B34C8"/>
    <w:rsid w:val="005D7072"/>
    <w:rsid w:val="006C4462"/>
    <w:rsid w:val="006D2C9C"/>
    <w:rsid w:val="006F071E"/>
    <w:rsid w:val="0087185D"/>
    <w:rsid w:val="00956CD3"/>
    <w:rsid w:val="00B205E7"/>
    <w:rsid w:val="00E9660D"/>
    <w:rsid w:val="00EB08AF"/>
    <w:rsid w:val="00FB4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5091"/>
  <w15:chartTrackingRefBased/>
  <w15:docId w15:val="{A7CEF7AC-97B8-48A3-AAA4-6ABBE350E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420C"/>
    <w:rPr>
      <w:color w:val="0563C1" w:themeColor="hyperlink"/>
      <w:u w:val="single"/>
    </w:rPr>
  </w:style>
  <w:style w:type="paragraph" w:styleId="Header">
    <w:name w:val="header"/>
    <w:basedOn w:val="Normal"/>
    <w:link w:val="HeaderChar"/>
    <w:uiPriority w:val="99"/>
    <w:unhideWhenUsed/>
    <w:rsid w:val="00187E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E39"/>
  </w:style>
  <w:style w:type="paragraph" w:styleId="Footer">
    <w:name w:val="footer"/>
    <w:basedOn w:val="Normal"/>
    <w:link w:val="FooterChar"/>
    <w:uiPriority w:val="99"/>
    <w:unhideWhenUsed/>
    <w:rsid w:val="00187E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83349">
      <w:bodyDiv w:val="1"/>
      <w:marLeft w:val="0"/>
      <w:marRight w:val="0"/>
      <w:marTop w:val="0"/>
      <w:marBottom w:val="0"/>
      <w:divBdr>
        <w:top w:val="none" w:sz="0" w:space="0" w:color="auto"/>
        <w:left w:val="none" w:sz="0" w:space="0" w:color="auto"/>
        <w:bottom w:val="none" w:sz="0" w:space="0" w:color="auto"/>
        <w:right w:val="none" w:sz="0" w:space="0" w:color="auto"/>
      </w:divBdr>
    </w:div>
    <w:div w:id="836110986">
      <w:bodyDiv w:val="1"/>
      <w:marLeft w:val="0"/>
      <w:marRight w:val="0"/>
      <w:marTop w:val="0"/>
      <w:marBottom w:val="0"/>
      <w:divBdr>
        <w:top w:val="none" w:sz="0" w:space="0" w:color="auto"/>
        <w:left w:val="none" w:sz="0" w:space="0" w:color="auto"/>
        <w:bottom w:val="none" w:sz="0" w:space="0" w:color="auto"/>
        <w:right w:val="none" w:sz="0" w:space="0" w:color="auto"/>
      </w:divBdr>
    </w:div>
    <w:div w:id="212854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securityalliance.org/download/artifacts/csa-s-perspective-on-cloud-risk-management" TargetMode="External"/><Relationship Id="rId13" Type="http://schemas.openxmlformats.org/officeDocument/2006/relationships/hyperlink" Target="https://www.whitecase.com/insight-alert/cybersecurity-developments-and-legal-issues" TargetMode="External"/><Relationship Id="rId3" Type="http://schemas.openxmlformats.org/officeDocument/2006/relationships/webSettings" Target="webSettings.xml"/><Relationship Id="rId7" Type="http://schemas.openxmlformats.org/officeDocument/2006/relationships/hyperlink" Target="https://www.cio.com/article/228151/what-is-cobit-a-framework-for-alignment-and-governance.html" TargetMode="External"/><Relationship Id="rId12" Type="http://schemas.openxmlformats.org/officeDocument/2006/relationships/hyperlink" Target="https://www.proofpoint.com/us/threat-reference/gdpr"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aws.amazon.com/compliance/" TargetMode="External"/><Relationship Id="rId11" Type="http://schemas.openxmlformats.org/officeDocument/2006/relationships/hyperlink" Target="https://nvlpubs.nist.gov/nistpubs/CSWP/NIST.CSWP.29.pdf"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cssia.org/wp-content/uploads/2020/01/ISO_27001_Standard.pdf" TargetMode="External"/><Relationship Id="rId4" Type="http://schemas.openxmlformats.org/officeDocument/2006/relationships/footnotes" Target="footnotes.xml"/><Relationship Id="rId9" Type="http://schemas.openxmlformats.org/officeDocument/2006/relationships/hyperlink" Target="https://www.law.columbia.edu/sites/default/files/2022-06/WC%20Handout%20IRAC%2C%20CRAC%2C%20CREAC.revised%205.22.pdf"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4</Pages>
  <Words>1017</Words>
  <Characters>5801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11</cp:revision>
  <dcterms:created xsi:type="dcterms:W3CDTF">2024-08-20T11:51:00Z</dcterms:created>
  <dcterms:modified xsi:type="dcterms:W3CDTF">2024-08-20T15:15:00Z</dcterms:modified>
</cp:coreProperties>
</file>