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6A02A" w14:textId="77777777" w:rsidR="00494BBA" w:rsidRDefault="00494BBA" w:rsidP="00494BBA">
      <w:pPr>
        <w:spacing w:line="480" w:lineRule="auto"/>
        <w:jc w:val="center"/>
        <w:rPr>
          <w:rFonts w:asciiTheme="minorHAnsi" w:eastAsia="Times New Roman" w:hAnsiTheme="minorHAnsi" w:cs="Times New Roman"/>
          <w:b/>
        </w:rPr>
      </w:pPr>
      <w:bookmarkStart w:id="0" w:name="_Hlk187742903"/>
      <w:bookmarkEnd w:id="0"/>
    </w:p>
    <w:p w14:paraId="358D8BEA" w14:textId="77777777" w:rsidR="00494BBA" w:rsidRDefault="00494BBA" w:rsidP="00494BBA">
      <w:pPr>
        <w:spacing w:line="480" w:lineRule="auto"/>
        <w:jc w:val="center"/>
        <w:rPr>
          <w:rFonts w:asciiTheme="minorHAnsi" w:eastAsia="Times New Roman" w:hAnsiTheme="minorHAnsi" w:cs="Times New Roman"/>
          <w:b/>
        </w:rPr>
      </w:pPr>
    </w:p>
    <w:p w14:paraId="591DFAFC" w14:textId="77777777" w:rsidR="00494BBA" w:rsidRDefault="00494BBA" w:rsidP="00494BBA">
      <w:pPr>
        <w:spacing w:line="480" w:lineRule="auto"/>
        <w:jc w:val="center"/>
        <w:rPr>
          <w:rFonts w:asciiTheme="minorHAnsi" w:eastAsia="Times New Roman" w:hAnsiTheme="minorHAnsi" w:cs="Times New Roman"/>
          <w:b/>
        </w:rPr>
      </w:pPr>
    </w:p>
    <w:p w14:paraId="231E15A7" w14:textId="77777777" w:rsidR="00494BBA" w:rsidRDefault="00494BBA" w:rsidP="00494BBA">
      <w:pPr>
        <w:spacing w:line="480" w:lineRule="auto"/>
        <w:jc w:val="center"/>
        <w:rPr>
          <w:rFonts w:asciiTheme="minorHAnsi" w:eastAsia="Times New Roman" w:hAnsiTheme="minorHAnsi" w:cs="Times New Roman"/>
          <w:b/>
        </w:rPr>
      </w:pPr>
    </w:p>
    <w:p w14:paraId="06095A87" w14:textId="77777777" w:rsidR="00494BBA" w:rsidRDefault="00494BBA" w:rsidP="00494BBA">
      <w:pPr>
        <w:spacing w:line="480" w:lineRule="auto"/>
        <w:jc w:val="center"/>
        <w:rPr>
          <w:rFonts w:asciiTheme="minorHAnsi" w:eastAsia="Times New Roman" w:hAnsiTheme="minorHAnsi" w:cs="Times New Roman"/>
          <w:b/>
        </w:rPr>
      </w:pPr>
    </w:p>
    <w:p w14:paraId="266286E7" w14:textId="77777777" w:rsidR="00494BBA" w:rsidRDefault="00494BBA" w:rsidP="00494BBA">
      <w:pPr>
        <w:spacing w:line="480" w:lineRule="auto"/>
        <w:jc w:val="center"/>
        <w:rPr>
          <w:rFonts w:asciiTheme="minorHAnsi" w:eastAsia="Times New Roman" w:hAnsiTheme="minorHAnsi" w:cs="Times New Roman"/>
          <w:b/>
        </w:rPr>
      </w:pPr>
    </w:p>
    <w:p w14:paraId="5CF0EFFB" w14:textId="77777777" w:rsidR="00494BBA" w:rsidRDefault="00494BBA" w:rsidP="00494BBA">
      <w:pPr>
        <w:spacing w:line="480" w:lineRule="auto"/>
        <w:jc w:val="center"/>
        <w:rPr>
          <w:rFonts w:asciiTheme="minorHAnsi" w:eastAsia="Times New Roman" w:hAnsiTheme="minorHAnsi" w:cs="Times New Roman"/>
          <w:b/>
        </w:rPr>
      </w:pPr>
    </w:p>
    <w:p w14:paraId="5C760D88" w14:textId="77777777" w:rsidR="00494BBA" w:rsidRDefault="00494BBA" w:rsidP="00494BBA">
      <w:pPr>
        <w:spacing w:line="480" w:lineRule="auto"/>
        <w:jc w:val="center"/>
        <w:rPr>
          <w:rFonts w:asciiTheme="minorHAnsi" w:eastAsia="Times New Roman" w:hAnsiTheme="minorHAnsi" w:cs="Times New Roman"/>
          <w:b/>
        </w:rPr>
      </w:pPr>
    </w:p>
    <w:p w14:paraId="33D0C48C" w14:textId="44EF7A39" w:rsidR="00494BBA" w:rsidRPr="00BD6D32" w:rsidRDefault="00494BBA" w:rsidP="00494BBA">
      <w:pPr>
        <w:spacing w:line="480" w:lineRule="auto"/>
        <w:jc w:val="center"/>
        <w:rPr>
          <w:rFonts w:asciiTheme="minorHAnsi" w:eastAsia="Times New Roman" w:hAnsiTheme="minorHAnsi" w:cs="Times New Roman"/>
          <w:b/>
        </w:rPr>
      </w:pPr>
      <w:r w:rsidRPr="00BD6D32">
        <w:rPr>
          <w:rFonts w:asciiTheme="minorHAnsi" w:eastAsia="Times New Roman" w:hAnsiTheme="minorHAnsi" w:cs="Times New Roman"/>
          <w:b/>
        </w:rPr>
        <w:t xml:space="preserve">Project </w:t>
      </w:r>
      <w:r>
        <w:rPr>
          <w:rFonts w:asciiTheme="minorHAnsi" w:eastAsia="Times New Roman" w:hAnsiTheme="minorHAnsi" w:cs="Times New Roman"/>
          <w:b/>
        </w:rPr>
        <w:t>1</w:t>
      </w:r>
      <w:r w:rsidRPr="00BD6D32">
        <w:rPr>
          <w:rFonts w:asciiTheme="minorHAnsi" w:eastAsia="Times New Roman" w:hAnsiTheme="minorHAnsi" w:cs="Times New Roman"/>
          <w:b/>
        </w:rPr>
        <w:t xml:space="preserve">: </w:t>
      </w:r>
      <w:r w:rsidR="00EC6DCD">
        <w:rPr>
          <w:rFonts w:asciiTheme="minorHAnsi" w:eastAsia="Times New Roman" w:hAnsiTheme="minorHAnsi" w:cs="Times New Roman"/>
          <w:b/>
        </w:rPr>
        <w:t>Impact Analysis</w:t>
      </w:r>
    </w:p>
    <w:p w14:paraId="6B10FD75" w14:textId="77777777" w:rsidR="00494BBA" w:rsidRPr="00BD6D32" w:rsidRDefault="00494BBA" w:rsidP="00494BBA">
      <w:pPr>
        <w:spacing w:line="480" w:lineRule="auto"/>
        <w:rPr>
          <w:rFonts w:asciiTheme="minorHAnsi" w:eastAsia="Times New Roman" w:hAnsiTheme="minorHAnsi" w:cs="Times New Roman"/>
        </w:rPr>
      </w:pPr>
    </w:p>
    <w:p w14:paraId="05D8601A" w14:textId="77777777" w:rsidR="00494BBA" w:rsidRPr="00BD6D32" w:rsidRDefault="00494BBA" w:rsidP="00494BBA">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Matthew Santiago</w:t>
      </w:r>
    </w:p>
    <w:p w14:paraId="58EB7CD1" w14:textId="77777777" w:rsidR="00494BBA" w:rsidRPr="00BD6D32" w:rsidRDefault="00494BBA" w:rsidP="00494BBA">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University of Maryland Global Campus</w:t>
      </w:r>
    </w:p>
    <w:p w14:paraId="66E400CA" w14:textId="77777777" w:rsidR="00494BBA" w:rsidRDefault="00494BBA" w:rsidP="00494BBA">
      <w:pPr>
        <w:spacing w:line="480" w:lineRule="auto"/>
        <w:jc w:val="center"/>
        <w:rPr>
          <w:rFonts w:asciiTheme="minorHAnsi" w:eastAsia="Times New Roman" w:hAnsiTheme="minorHAnsi" w:cs="Times New Roman"/>
        </w:rPr>
      </w:pPr>
      <w:r w:rsidRPr="00BD6D32">
        <w:rPr>
          <w:rFonts w:asciiTheme="minorHAnsi" w:eastAsia="Times New Roman" w:hAnsiTheme="minorHAnsi" w:cs="Times New Roman"/>
        </w:rPr>
        <w:t>CCS 6</w:t>
      </w:r>
      <w:r>
        <w:rPr>
          <w:rFonts w:asciiTheme="minorHAnsi" w:eastAsia="Times New Roman" w:hAnsiTheme="minorHAnsi" w:cs="Times New Roman"/>
        </w:rPr>
        <w:t>30</w:t>
      </w:r>
      <w:r w:rsidRPr="00BD6D32">
        <w:rPr>
          <w:rFonts w:asciiTheme="minorHAnsi" w:eastAsia="Times New Roman" w:hAnsiTheme="minorHAnsi" w:cs="Times New Roman"/>
        </w:rPr>
        <w:t xml:space="preserve"> </w:t>
      </w:r>
      <w:r w:rsidRPr="00494BBA">
        <w:rPr>
          <w:rFonts w:asciiTheme="minorHAnsi" w:eastAsia="Times New Roman" w:hAnsiTheme="minorHAnsi" w:cs="Times New Roman"/>
        </w:rPr>
        <w:t>Cloud Infrastructure Planning, Design, and Configurations</w:t>
      </w:r>
    </w:p>
    <w:p w14:paraId="1E5D7318" w14:textId="74B26395" w:rsidR="00580D19" w:rsidRDefault="00494BBA" w:rsidP="00494BBA">
      <w:pPr>
        <w:spacing w:line="480" w:lineRule="auto"/>
        <w:jc w:val="center"/>
        <w:rPr>
          <w:rFonts w:asciiTheme="minorHAnsi" w:eastAsia="Times New Roman" w:hAnsiTheme="minorHAnsi" w:cs="Times New Roman"/>
        </w:rPr>
      </w:pPr>
      <w:r w:rsidRPr="00494BBA">
        <w:rPr>
          <w:rFonts w:asciiTheme="minorHAnsi" w:eastAsia="Times New Roman" w:hAnsiTheme="minorHAnsi" w:cs="Times New Roman"/>
        </w:rPr>
        <w:t>Alan Castillo</w:t>
      </w:r>
    </w:p>
    <w:p w14:paraId="647CB9D6" w14:textId="058F0879" w:rsidR="00494BBA" w:rsidRDefault="00EC6DCD" w:rsidP="00494BBA">
      <w:pPr>
        <w:spacing w:line="480" w:lineRule="auto"/>
        <w:jc w:val="center"/>
        <w:rPr>
          <w:rFonts w:asciiTheme="minorHAnsi" w:eastAsia="Times New Roman" w:hAnsiTheme="minorHAnsi" w:cs="Times New Roman"/>
        </w:rPr>
      </w:pPr>
      <w:r>
        <w:rPr>
          <w:rFonts w:asciiTheme="minorHAnsi" w:eastAsia="Times New Roman" w:hAnsiTheme="minorHAnsi" w:cs="Times New Roman"/>
        </w:rPr>
        <w:t>January 23</w:t>
      </w:r>
      <w:r w:rsidR="00494BBA">
        <w:rPr>
          <w:rFonts w:asciiTheme="minorHAnsi" w:eastAsia="Times New Roman" w:hAnsiTheme="minorHAnsi" w:cs="Times New Roman"/>
        </w:rPr>
        <w:t>, 2025</w:t>
      </w:r>
    </w:p>
    <w:p w14:paraId="28716E66" w14:textId="77777777" w:rsidR="00494BBA" w:rsidRDefault="00494BBA" w:rsidP="00494BBA">
      <w:pPr>
        <w:spacing w:line="480" w:lineRule="auto"/>
        <w:jc w:val="center"/>
        <w:rPr>
          <w:rFonts w:asciiTheme="minorHAnsi" w:eastAsia="Times New Roman" w:hAnsiTheme="minorHAnsi" w:cs="Times New Roman"/>
        </w:rPr>
      </w:pPr>
    </w:p>
    <w:p w14:paraId="321DA1D9" w14:textId="77777777" w:rsidR="00494BBA" w:rsidRDefault="00494BBA" w:rsidP="00494BBA">
      <w:pPr>
        <w:spacing w:line="480" w:lineRule="auto"/>
        <w:jc w:val="center"/>
        <w:rPr>
          <w:rFonts w:asciiTheme="minorHAnsi" w:eastAsia="Times New Roman" w:hAnsiTheme="minorHAnsi" w:cs="Times New Roman"/>
        </w:rPr>
      </w:pPr>
    </w:p>
    <w:p w14:paraId="0D7FB520" w14:textId="77777777" w:rsidR="00494BBA" w:rsidRDefault="00494BBA" w:rsidP="00494BBA">
      <w:pPr>
        <w:spacing w:line="480" w:lineRule="auto"/>
        <w:jc w:val="center"/>
        <w:rPr>
          <w:rFonts w:asciiTheme="minorHAnsi" w:eastAsia="Times New Roman" w:hAnsiTheme="minorHAnsi" w:cs="Times New Roman"/>
        </w:rPr>
      </w:pPr>
    </w:p>
    <w:p w14:paraId="7990100F" w14:textId="77777777" w:rsidR="00494BBA" w:rsidRDefault="00494BBA" w:rsidP="00494BBA">
      <w:pPr>
        <w:spacing w:line="480" w:lineRule="auto"/>
        <w:jc w:val="center"/>
        <w:rPr>
          <w:rFonts w:asciiTheme="minorHAnsi" w:eastAsia="Times New Roman" w:hAnsiTheme="minorHAnsi" w:cs="Times New Roman"/>
        </w:rPr>
      </w:pPr>
    </w:p>
    <w:p w14:paraId="6E5B696A" w14:textId="77777777" w:rsidR="00494BBA" w:rsidRDefault="00494BBA" w:rsidP="00494BBA">
      <w:pPr>
        <w:spacing w:line="480" w:lineRule="auto"/>
        <w:jc w:val="center"/>
        <w:rPr>
          <w:rFonts w:asciiTheme="minorHAnsi" w:eastAsia="Times New Roman" w:hAnsiTheme="minorHAnsi" w:cs="Times New Roman"/>
        </w:rPr>
      </w:pPr>
    </w:p>
    <w:p w14:paraId="3803BCDD" w14:textId="77777777" w:rsidR="00494BBA" w:rsidRDefault="00494BBA" w:rsidP="00494BBA">
      <w:pPr>
        <w:spacing w:line="480" w:lineRule="auto"/>
        <w:jc w:val="center"/>
        <w:rPr>
          <w:rFonts w:asciiTheme="minorHAnsi" w:eastAsia="Times New Roman" w:hAnsiTheme="minorHAnsi" w:cs="Times New Roman"/>
        </w:rPr>
      </w:pPr>
    </w:p>
    <w:p w14:paraId="4A4D1F77" w14:textId="77777777" w:rsidR="00494BBA" w:rsidRDefault="00494BBA" w:rsidP="00494BBA">
      <w:pPr>
        <w:spacing w:line="480" w:lineRule="auto"/>
        <w:jc w:val="center"/>
        <w:rPr>
          <w:rFonts w:asciiTheme="minorHAnsi" w:eastAsia="Times New Roman" w:hAnsiTheme="minorHAnsi" w:cs="Times New Roman"/>
        </w:rPr>
      </w:pPr>
    </w:p>
    <w:p w14:paraId="6C90CED7" w14:textId="77777777" w:rsidR="00494BBA" w:rsidRDefault="00494BBA" w:rsidP="00494BBA">
      <w:pPr>
        <w:spacing w:line="480" w:lineRule="auto"/>
        <w:jc w:val="center"/>
        <w:rPr>
          <w:rFonts w:asciiTheme="minorHAnsi" w:eastAsia="Times New Roman" w:hAnsiTheme="minorHAnsi" w:cs="Times New Roman"/>
        </w:rPr>
      </w:pPr>
    </w:p>
    <w:p w14:paraId="03D5358B" w14:textId="0B51619A" w:rsidR="00494BBA" w:rsidRDefault="00494BBA" w:rsidP="00494BBA">
      <w:pPr>
        <w:spacing w:line="480" w:lineRule="auto"/>
        <w:jc w:val="center"/>
        <w:rPr>
          <w:rFonts w:asciiTheme="minorHAnsi" w:eastAsia="Times New Roman" w:hAnsiTheme="minorHAnsi" w:cs="Times New Roman"/>
        </w:rPr>
      </w:pPr>
    </w:p>
    <w:p w14:paraId="0D90CA84" w14:textId="77777777" w:rsidR="007A535E" w:rsidRPr="007A535E" w:rsidRDefault="007A535E" w:rsidP="007A535E">
      <w:pPr>
        <w:spacing w:line="240" w:lineRule="auto"/>
        <w:rPr>
          <w:rFonts w:asciiTheme="minorHAnsi" w:eastAsia="Times New Roman" w:hAnsiTheme="minorHAnsi" w:cs="Times New Roman"/>
        </w:rPr>
      </w:pPr>
      <w:r w:rsidRPr="007A535E">
        <w:rPr>
          <w:rFonts w:asciiTheme="minorHAnsi" w:eastAsia="Times New Roman" w:hAnsiTheme="minorHAnsi" w:cs="Times New Roman"/>
        </w:rPr>
        <w:lastRenderedPageBreak/>
        <w:t>A robust cloud exit strategy</w:t>
      </w:r>
      <w:bookmarkStart w:id="1" w:name="_GoBack"/>
      <w:bookmarkEnd w:id="1"/>
      <w:r w:rsidRPr="007A535E">
        <w:rPr>
          <w:rFonts w:asciiTheme="minorHAnsi" w:eastAsia="Times New Roman" w:hAnsiTheme="minorHAnsi" w:cs="Times New Roman"/>
        </w:rPr>
        <w:t xml:space="preserve"> is essential for ensuring </w:t>
      </w:r>
      <w:proofErr w:type="spellStart"/>
      <w:r w:rsidRPr="007A535E">
        <w:rPr>
          <w:rFonts w:asciiTheme="minorHAnsi" w:eastAsia="Times New Roman" w:hAnsiTheme="minorHAnsi" w:cs="Times New Roman"/>
        </w:rPr>
        <w:t>BallotOnline’s</w:t>
      </w:r>
      <w:proofErr w:type="spellEnd"/>
      <w:r w:rsidRPr="007A535E">
        <w:rPr>
          <w:rFonts w:asciiTheme="minorHAnsi" w:eastAsia="Times New Roman" w:hAnsiTheme="minorHAnsi" w:cs="Times New Roman"/>
        </w:rPr>
        <w:t xml:space="preserve"> continuity and security in the event of a termination or significant disruption in the relationship with a cloud service provider. This strategy outlines the conditions under which an exit might occur, the steps to transition services and data, and the safeguards necessary to minimize operational impacts. A well-designed exit plan mitigates risks associated with vendor dependency, ensuring </w:t>
      </w:r>
      <w:proofErr w:type="spellStart"/>
      <w:r w:rsidRPr="007A535E">
        <w:rPr>
          <w:rFonts w:asciiTheme="minorHAnsi" w:eastAsia="Times New Roman" w:hAnsiTheme="minorHAnsi" w:cs="Times New Roman"/>
        </w:rPr>
        <w:t>BallotOnline’s</w:t>
      </w:r>
      <w:proofErr w:type="spellEnd"/>
      <w:r w:rsidRPr="007A535E">
        <w:rPr>
          <w:rFonts w:asciiTheme="minorHAnsi" w:eastAsia="Times New Roman" w:hAnsiTheme="minorHAnsi" w:cs="Times New Roman"/>
        </w:rPr>
        <w:t xml:space="preserve"> critical e-voting systems remain resilient and operational.</w:t>
      </w:r>
    </w:p>
    <w:p w14:paraId="06B5E4ED" w14:textId="77777777" w:rsidR="007A535E" w:rsidRPr="007A535E" w:rsidRDefault="007A535E" w:rsidP="007A535E">
      <w:pPr>
        <w:spacing w:line="240" w:lineRule="auto"/>
        <w:rPr>
          <w:rFonts w:asciiTheme="minorHAnsi" w:eastAsia="Times New Roman" w:hAnsiTheme="minorHAnsi" w:cs="Times New Roman"/>
        </w:rPr>
      </w:pPr>
    </w:p>
    <w:p w14:paraId="0B1C09B4" w14:textId="77777777" w:rsidR="007A535E" w:rsidRPr="007A535E" w:rsidRDefault="007A535E" w:rsidP="007A535E">
      <w:pPr>
        <w:spacing w:line="240" w:lineRule="auto"/>
        <w:rPr>
          <w:rFonts w:asciiTheme="minorHAnsi" w:eastAsia="Times New Roman" w:hAnsiTheme="minorHAnsi" w:cs="Times New Roman"/>
        </w:rPr>
      </w:pPr>
      <w:r w:rsidRPr="007A535E">
        <w:rPr>
          <w:rFonts w:asciiTheme="minorHAnsi" w:eastAsia="Times New Roman" w:hAnsiTheme="minorHAnsi" w:cs="Times New Roman"/>
        </w:rPr>
        <w:t>Key circumstances that may necessitate executing the cloud exit strategy include vendor performance issues, such as repeated failure to meet service-level agreements (SLAs) or consistent underperformance on latency thresholds. Security breaches pose another critical trigger, especially if the vendor fails to prevent or respond effectively to incidents that jeopardize sensitive voter data. Compliance failures, including the inability to meet regulations like GDPR, HIPAA, or local data residency laws, may also prompt an exit. Additionally, the exit strategy accounts for vendor viability concerns, such as financial instability or business changes that affect service reliability, as well as geopolitical or geographic-specific compliance issues that disrupt access to cloud resources in certain regions.</w:t>
      </w:r>
    </w:p>
    <w:p w14:paraId="4DACFB4F" w14:textId="77777777" w:rsidR="007A535E" w:rsidRPr="007A535E" w:rsidRDefault="007A535E" w:rsidP="007A535E">
      <w:pPr>
        <w:spacing w:line="240" w:lineRule="auto"/>
        <w:rPr>
          <w:rFonts w:asciiTheme="minorHAnsi" w:eastAsia="Times New Roman" w:hAnsiTheme="minorHAnsi" w:cs="Times New Roman"/>
        </w:rPr>
      </w:pPr>
    </w:p>
    <w:p w14:paraId="0031D308" w14:textId="77777777" w:rsidR="007A535E" w:rsidRPr="007A535E" w:rsidRDefault="007A535E" w:rsidP="007A535E">
      <w:pPr>
        <w:spacing w:line="240" w:lineRule="auto"/>
        <w:rPr>
          <w:rFonts w:asciiTheme="minorHAnsi" w:eastAsia="Times New Roman" w:hAnsiTheme="minorHAnsi" w:cs="Times New Roman"/>
        </w:rPr>
      </w:pPr>
      <w:r w:rsidRPr="007A535E">
        <w:rPr>
          <w:rFonts w:asciiTheme="minorHAnsi" w:eastAsia="Times New Roman" w:hAnsiTheme="minorHAnsi" w:cs="Times New Roman"/>
        </w:rPr>
        <w:t>The exit process follows a phased approach to ensure a smooth transition. Pre-exit planning involves conducting a risk assessment to evaluate operational impacts, identifying alternative providers or solutions, and ensuring data portability by storing data in formats compatible with migration tools. During the data migration phase, critical data is exported with full encryption, and integrity checks are performed to ensure accuracy and completeness. Vendor-neutral backup solutions are used to maintain data availability throughout the transition. Operational transition includes deploying resources on the new infrastructure, testing the new environment for functionality and security, and, if feasible, temporarily running dual operations to ensure continuity. Finally, during the decommissioning phase, all cloud services with the outgoing vendor are terminated, data is verified for complete deletion, and final invoices are audited to avoid unexpected charges.</w:t>
      </w:r>
    </w:p>
    <w:p w14:paraId="12797868" w14:textId="77777777" w:rsidR="007A535E" w:rsidRPr="007A535E" w:rsidRDefault="007A535E" w:rsidP="007A535E">
      <w:pPr>
        <w:spacing w:line="240" w:lineRule="auto"/>
        <w:rPr>
          <w:rFonts w:asciiTheme="minorHAnsi" w:eastAsia="Times New Roman" w:hAnsiTheme="minorHAnsi" w:cs="Times New Roman"/>
        </w:rPr>
      </w:pPr>
    </w:p>
    <w:p w14:paraId="590CDE7C" w14:textId="77777777" w:rsidR="007A535E" w:rsidRPr="007A535E" w:rsidRDefault="007A535E" w:rsidP="007A535E">
      <w:pPr>
        <w:spacing w:line="240" w:lineRule="auto"/>
        <w:rPr>
          <w:rFonts w:asciiTheme="minorHAnsi" w:eastAsia="Times New Roman" w:hAnsiTheme="minorHAnsi" w:cs="Times New Roman"/>
        </w:rPr>
      </w:pPr>
      <w:r w:rsidRPr="007A535E">
        <w:rPr>
          <w:rFonts w:asciiTheme="minorHAnsi" w:eastAsia="Times New Roman" w:hAnsiTheme="minorHAnsi" w:cs="Times New Roman"/>
        </w:rPr>
        <w:t>Compliance and governance are critical to the exit strategy, ensuring that legal and regulatory obligations are met throughout the process. This involves reviewing contracts and SLAs for exit clauses, maintaining compliance with data protection laws during migration and decommissioning, and documenting the process to provide an audit trail for regulatory review.</w:t>
      </w:r>
    </w:p>
    <w:p w14:paraId="5DC025CD" w14:textId="77777777" w:rsidR="007A535E" w:rsidRPr="007A535E" w:rsidRDefault="007A535E" w:rsidP="007A535E">
      <w:pPr>
        <w:spacing w:line="240" w:lineRule="auto"/>
        <w:rPr>
          <w:rFonts w:asciiTheme="minorHAnsi" w:eastAsia="Times New Roman" w:hAnsiTheme="minorHAnsi" w:cs="Times New Roman"/>
        </w:rPr>
      </w:pPr>
    </w:p>
    <w:p w14:paraId="2F7704F6" w14:textId="77777777" w:rsidR="007A535E" w:rsidRPr="007A535E" w:rsidRDefault="007A535E" w:rsidP="007A535E">
      <w:pPr>
        <w:spacing w:line="240" w:lineRule="auto"/>
        <w:rPr>
          <w:rFonts w:asciiTheme="minorHAnsi" w:eastAsia="Times New Roman" w:hAnsiTheme="minorHAnsi" w:cs="Times New Roman"/>
        </w:rPr>
      </w:pPr>
      <w:r w:rsidRPr="007A535E">
        <w:rPr>
          <w:rFonts w:asciiTheme="minorHAnsi" w:eastAsia="Times New Roman" w:hAnsiTheme="minorHAnsi" w:cs="Times New Roman"/>
        </w:rPr>
        <w:t xml:space="preserve">To strengthen the exit strategy, </w:t>
      </w:r>
      <w:proofErr w:type="spellStart"/>
      <w:r w:rsidRPr="007A535E">
        <w:rPr>
          <w:rFonts w:asciiTheme="minorHAnsi" w:eastAsia="Times New Roman" w:hAnsiTheme="minorHAnsi" w:cs="Times New Roman"/>
        </w:rPr>
        <w:t>BallotOnline</w:t>
      </w:r>
      <w:proofErr w:type="spellEnd"/>
      <w:r w:rsidRPr="007A535E">
        <w:rPr>
          <w:rFonts w:asciiTheme="minorHAnsi" w:eastAsia="Times New Roman" w:hAnsiTheme="minorHAnsi" w:cs="Times New Roman"/>
        </w:rPr>
        <w:t xml:space="preserve"> should implement several proactive measures. Vendor evaluation criteria should be established to regularly assess performance and compliance, allowing early identification of risks. Vendor-neutral tools and platforms should be used to support multi-cloud or hybrid environments, simplifying future transitions. Periodic drills of the exit strategy should be conducted to identify and address gaps in the process. Additionally, training employees to handle cloud migrations and operational transitions will build internal expertise and readiness.</w:t>
      </w:r>
    </w:p>
    <w:p w14:paraId="040622E5" w14:textId="77777777" w:rsidR="007A535E" w:rsidRPr="007A535E" w:rsidRDefault="007A535E" w:rsidP="007A535E">
      <w:pPr>
        <w:spacing w:line="240" w:lineRule="auto"/>
        <w:rPr>
          <w:rFonts w:asciiTheme="minorHAnsi" w:eastAsia="Times New Roman" w:hAnsiTheme="minorHAnsi" w:cs="Times New Roman"/>
        </w:rPr>
      </w:pPr>
    </w:p>
    <w:p w14:paraId="4C1A1488" w14:textId="7A755047" w:rsidR="007A535E" w:rsidRDefault="007A535E" w:rsidP="007A535E">
      <w:pPr>
        <w:spacing w:line="240" w:lineRule="auto"/>
        <w:rPr>
          <w:rFonts w:asciiTheme="minorHAnsi" w:eastAsia="Times New Roman" w:hAnsiTheme="minorHAnsi" w:cs="Times New Roman"/>
        </w:rPr>
      </w:pPr>
      <w:r w:rsidRPr="007A535E">
        <w:rPr>
          <w:rFonts w:asciiTheme="minorHAnsi" w:eastAsia="Times New Roman" w:hAnsiTheme="minorHAnsi" w:cs="Times New Roman"/>
        </w:rPr>
        <w:t xml:space="preserve">A comprehensive exit strategy is crucial for safeguarding </w:t>
      </w:r>
      <w:proofErr w:type="spellStart"/>
      <w:r w:rsidRPr="007A535E">
        <w:rPr>
          <w:rFonts w:asciiTheme="minorHAnsi" w:eastAsia="Times New Roman" w:hAnsiTheme="minorHAnsi" w:cs="Times New Roman"/>
        </w:rPr>
        <w:t>BallotOnline’s</w:t>
      </w:r>
      <w:proofErr w:type="spellEnd"/>
      <w:r w:rsidRPr="007A535E">
        <w:rPr>
          <w:rFonts w:asciiTheme="minorHAnsi" w:eastAsia="Times New Roman" w:hAnsiTheme="minorHAnsi" w:cs="Times New Roman"/>
        </w:rPr>
        <w:t xml:space="preserve"> operations against vendor-related risks. By preparing for potential disruptions and ensuring a seamless transition to alternative solutions, this strategy reinforces </w:t>
      </w:r>
      <w:proofErr w:type="spellStart"/>
      <w:r w:rsidRPr="007A535E">
        <w:rPr>
          <w:rFonts w:asciiTheme="minorHAnsi" w:eastAsia="Times New Roman" w:hAnsiTheme="minorHAnsi" w:cs="Times New Roman"/>
        </w:rPr>
        <w:t>BallotOnline’s</w:t>
      </w:r>
      <w:proofErr w:type="spellEnd"/>
      <w:r w:rsidRPr="007A535E">
        <w:rPr>
          <w:rFonts w:asciiTheme="minorHAnsi" w:eastAsia="Times New Roman" w:hAnsiTheme="minorHAnsi" w:cs="Times New Roman"/>
        </w:rPr>
        <w:t xml:space="preserve"> commitment to delivering secure, reliable, and scalable e-voting services globally.</w:t>
      </w:r>
    </w:p>
    <w:sectPr w:rsidR="007A5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A6855"/>
    <w:multiLevelType w:val="multilevel"/>
    <w:tmpl w:val="A2BE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33721"/>
    <w:multiLevelType w:val="multilevel"/>
    <w:tmpl w:val="43E65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A3982"/>
    <w:multiLevelType w:val="multilevel"/>
    <w:tmpl w:val="E4288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0253C5"/>
    <w:multiLevelType w:val="multilevel"/>
    <w:tmpl w:val="FA9CC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EE4489"/>
    <w:multiLevelType w:val="multilevel"/>
    <w:tmpl w:val="10CE0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1036F6"/>
    <w:multiLevelType w:val="multilevel"/>
    <w:tmpl w:val="64C2E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7A7416"/>
    <w:multiLevelType w:val="multilevel"/>
    <w:tmpl w:val="90EC4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0"/>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241A"/>
    <w:rsid w:val="00064EEE"/>
    <w:rsid w:val="00184912"/>
    <w:rsid w:val="0023138E"/>
    <w:rsid w:val="0035392E"/>
    <w:rsid w:val="00385414"/>
    <w:rsid w:val="003B0E20"/>
    <w:rsid w:val="00494BBA"/>
    <w:rsid w:val="004D15B1"/>
    <w:rsid w:val="00580D19"/>
    <w:rsid w:val="005A4ADE"/>
    <w:rsid w:val="005D241A"/>
    <w:rsid w:val="0061394E"/>
    <w:rsid w:val="006324B7"/>
    <w:rsid w:val="007A535E"/>
    <w:rsid w:val="007D3B1F"/>
    <w:rsid w:val="007E79D7"/>
    <w:rsid w:val="00811CF7"/>
    <w:rsid w:val="008722B8"/>
    <w:rsid w:val="00933D2C"/>
    <w:rsid w:val="00954E31"/>
    <w:rsid w:val="00A37B21"/>
    <w:rsid w:val="00BC47AE"/>
    <w:rsid w:val="00DD0D8B"/>
    <w:rsid w:val="00E81691"/>
    <w:rsid w:val="00EA3AA1"/>
    <w:rsid w:val="00EB3171"/>
    <w:rsid w:val="00EC5DE9"/>
    <w:rsid w:val="00EC6DC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6760C"/>
  <w15:chartTrackingRefBased/>
  <w15:docId w15:val="{FBC78DAB-CED6-4190-AD8D-AC56E4E6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94BBA"/>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D2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4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4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4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4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4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4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4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4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1A"/>
    <w:rPr>
      <w:rFonts w:eastAsiaTheme="majorEastAsia" w:cstheme="majorBidi"/>
      <w:color w:val="272727" w:themeColor="text1" w:themeTint="D8"/>
    </w:rPr>
  </w:style>
  <w:style w:type="paragraph" w:styleId="Title">
    <w:name w:val="Title"/>
    <w:basedOn w:val="Normal"/>
    <w:next w:val="Normal"/>
    <w:link w:val="TitleChar"/>
    <w:uiPriority w:val="10"/>
    <w:qFormat/>
    <w:rsid w:val="005D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1A"/>
    <w:pPr>
      <w:spacing w:before="160"/>
      <w:jc w:val="center"/>
    </w:pPr>
    <w:rPr>
      <w:i/>
      <w:iCs/>
      <w:color w:val="404040" w:themeColor="text1" w:themeTint="BF"/>
    </w:rPr>
  </w:style>
  <w:style w:type="character" w:customStyle="1" w:styleId="QuoteChar">
    <w:name w:val="Quote Char"/>
    <w:basedOn w:val="DefaultParagraphFont"/>
    <w:link w:val="Quote"/>
    <w:uiPriority w:val="29"/>
    <w:rsid w:val="005D241A"/>
    <w:rPr>
      <w:i/>
      <w:iCs/>
      <w:color w:val="404040" w:themeColor="text1" w:themeTint="BF"/>
    </w:rPr>
  </w:style>
  <w:style w:type="paragraph" w:styleId="ListParagraph">
    <w:name w:val="List Paragraph"/>
    <w:basedOn w:val="Normal"/>
    <w:uiPriority w:val="34"/>
    <w:qFormat/>
    <w:rsid w:val="005D241A"/>
    <w:pPr>
      <w:ind w:left="720"/>
      <w:contextualSpacing/>
    </w:pPr>
  </w:style>
  <w:style w:type="character" w:styleId="IntenseEmphasis">
    <w:name w:val="Intense Emphasis"/>
    <w:basedOn w:val="DefaultParagraphFont"/>
    <w:uiPriority w:val="21"/>
    <w:qFormat/>
    <w:rsid w:val="005D241A"/>
    <w:rPr>
      <w:i/>
      <w:iCs/>
      <w:color w:val="2F5496" w:themeColor="accent1" w:themeShade="BF"/>
    </w:rPr>
  </w:style>
  <w:style w:type="paragraph" w:styleId="IntenseQuote">
    <w:name w:val="Intense Quote"/>
    <w:basedOn w:val="Normal"/>
    <w:next w:val="Normal"/>
    <w:link w:val="IntenseQuoteChar"/>
    <w:uiPriority w:val="30"/>
    <w:qFormat/>
    <w:rsid w:val="005D2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41A"/>
    <w:rPr>
      <w:i/>
      <w:iCs/>
      <w:color w:val="2F5496" w:themeColor="accent1" w:themeShade="BF"/>
    </w:rPr>
  </w:style>
  <w:style w:type="character" w:styleId="IntenseReference">
    <w:name w:val="Intense Reference"/>
    <w:basedOn w:val="DefaultParagraphFont"/>
    <w:uiPriority w:val="32"/>
    <w:qFormat/>
    <w:rsid w:val="005D2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840745">
      <w:bodyDiv w:val="1"/>
      <w:marLeft w:val="0"/>
      <w:marRight w:val="0"/>
      <w:marTop w:val="0"/>
      <w:marBottom w:val="0"/>
      <w:divBdr>
        <w:top w:val="none" w:sz="0" w:space="0" w:color="auto"/>
        <w:left w:val="none" w:sz="0" w:space="0" w:color="auto"/>
        <w:bottom w:val="none" w:sz="0" w:space="0" w:color="auto"/>
        <w:right w:val="none" w:sz="0" w:space="0" w:color="auto"/>
      </w:divBdr>
    </w:div>
    <w:div w:id="421148882">
      <w:bodyDiv w:val="1"/>
      <w:marLeft w:val="0"/>
      <w:marRight w:val="0"/>
      <w:marTop w:val="0"/>
      <w:marBottom w:val="0"/>
      <w:divBdr>
        <w:top w:val="none" w:sz="0" w:space="0" w:color="auto"/>
        <w:left w:val="none" w:sz="0" w:space="0" w:color="auto"/>
        <w:bottom w:val="none" w:sz="0" w:space="0" w:color="auto"/>
        <w:right w:val="none" w:sz="0" w:space="0" w:color="auto"/>
      </w:divBdr>
    </w:div>
    <w:div w:id="540945902">
      <w:bodyDiv w:val="1"/>
      <w:marLeft w:val="0"/>
      <w:marRight w:val="0"/>
      <w:marTop w:val="0"/>
      <w:marBottom w:val="0"/>
      <w:divBdr>
        <w:top w:val="none" w:sz="0" w:space="0" w:color="auto"/>
        <w:left w:val="none" w:sz="0" w:space="0" w:color="auto"/>
        <w:bottom w:val="none" w:sz="0" w:space="0" w:color="auto"/>
        <w:right w:val="none" w:sz="0" w:space="0" w:color="auto"/>
      </w:divBdr>
    </w:div>
    <w:div w:id="687026804">
      <w:bodyDiv w:val="1"/>
      <w:marLeft w:val="0"/>
      <w:marRight w:val="0"/>
      <w:marTop w:val="0"/>
      <w:marBottom w:val="0"/>
      <w:divBdr>
        <w:top w:val="none" w:sz="0" w:space="0" w:color="auto"/>
        <w:left w:val="none" w:sz="0" w:space="0" w:color="auto"/>
        <w:bottom w:val="none" w:sz="0" w:space="0" w:color="auto"/>
        <w:right w:val="none" w:sz="0" w:space="0" w:color="auto"/>
      </w:divBdr>
    </w:div>
    <w:div w:id="712968667">
      <w:bodyDiv w:val="1"/>
      <w:marLeft w:val="0"/>
      <w:marRight w:val="0"/>
      <w:marTop w:val="0"/>
      <w:marBottom w:val="0"/>
      <w:divBdr>
        <w:top w:val="none" w:sz="0" w:space="0" w:color="auto"/>
        <w:left w:val="none" w:sz="0" w:space="0" w:color="auto"/>
        <w:bottom w:val="none" w:sz="0" w:space="0" w:color="auto"/>
        <w:right w:val="none" w:sz="0" w:space="0" w:color="auto"/>
      </w:divBdr>
    </w:div>
    <w:div w:id="753820789">
      <w:bodyDiv w:val="1"/>
      <w:marLeft w:val="0"/>
      <w:marRight w:val="0"/>
      <w:marTop w:val="0"/>
      <w:marBottom w:val="0"/>
      <w:divBdr>
        <w:top w:val="none" w:sz="0" w:space="0" w:color="auto"/>
        <w:left w:val="none" w:sz="0" w:space="0" w:color="auto"/>
        <w:bottom w:val="none" w:sz="0" w:space="0" w:color="auto"/>
        <w:right w:val="none" w:sz="0" w:space="0" w:color="auto"/>
      </w:divBdr>
    </w:div>
    <w:div w:id="806094898">
      <w:bodyDiv w:val="1"/>
      <w:marLeft w:val="0"/>
      <w:marRight w:val="0"/>
      <w:marTop w:val="0"/>
      <w:marBottom w:val="0"/>
      <w:divBdr>
        <w:top w:val="none" w:sz="0" w:space="0" w:color="auto"/>
        <w:left w:val="none" w:sz="0" w:space="0" w:color="auto"/>
        <w:bottom w:val="none" w:sz="0" w:space="0" w:color="auto"/>
        <w:right w:val="none" w:sz="0" w:space="0" w:color="auto"/>
      </w:divBdr>
    </w:div>
    <w:div w:id="912202784">
      <w:bodyDiv w:val="1"/>
      <w:marLeft w:val="0"/>
      <w:marRight w:val="0"/>
      <w:marTop w:val="0"/>
      <w:marBottom w:val="0"/>
      <w:divBdr>
        <w:top w:val="none" w:sz="0" w:space="0" w:color="auto"/>
        <w:left w:val="none" w:sz="0" w:space="0" w:color="auto"/>
        <w:bottom w:val="none" w:sz="0" w:space="0" w:color="auto"/>
        <w:right w:val="none" w:sz="0" w:space="0" w:color="auto"/>
      </w:divBdr>
    </w:div>
    <w:div w:id="978220464">
      <w:bodyDiv w:val="1"/>
      <w:marLeft w:val="0"/>
      <w:marRight w:val="0"/>
      <w:marTop w:val="0"/>
      <w:marBottom w:val="0"/>
      <w:divBdr>
        <w:top w:val="none" w:sz="0" w:space="0" w:color="auto"/>
        <w:left w:val="none" w:sz="0" w:space="0" w:color="auto"/>
        <w:bottom w:val="none" w:sz="0" w:space="0" w:color="auto"/>
        <w:right w:val="none" w:sz="0" w:space="0" w:color="auto"/>
      </w:divBdr>
      <w:divsChild>
        <w:div w:id="1530987442">
          <w:marLeft w:val="0"/>
          <w:marRight w:val="0"/>
          <w:marTop w:val="0"/>
          <w:marBottom w:val="0"/>
          <w:divBdr>
            <w:top w:val="none" w:sz="0" w:space="0" w:color="auto"/>
            <w:left w:val="none" w:sz="0" w:space="0" w:color="auto"/>
            <w:bottom w:val="none" w:sz="0" w:space="0" w:color="auto"/>
            <w:right w:val="none" w:sz="0" w:space="0" w:color="auto"/>
          </w:divBdr>
          <w:divsChild>
            <w:div w:id="436607944">
              <w:marLeft w:val="0"/>
              <w:marRight w:val="0"/>
              <w:marTop w:val="0"/>
              <w:marBottom w:val="0"/>
              <w:divBdr>
                <w:top w:val="none" w:sz="0" w:space="0" w:color="auto"/>
                <w:left w:val="none" w:sz="0" w:space="0" w:color="auto"/>
                <w:bottom w:val="none" w:sz="0" w:space="0" w:color="auto"/>
                <w:right w:val="none" w:sz="0" w:space="0" w:color="auto"/>
              </w:divBdr>
              <w:divsChild>
                <w:div w:id="1291322182">
                  <w:marLeft w:val="0"/>
                  <w:marRight w:val="0"/>
                  <w:marTop w:val="0"/>
                  <w:marBottom w:val="0"/>
                  <w:divBdr>
                    <w:top w:val="none" w:sz="0" w:space="0" w:color="auto"/>
                    <w:left w:val="none" w:sz="0" w:space="0" w:color="auto"/>
                    <w:bottom w:val="none" w:sz="0" w:space="0" w:color="auto"/>
                    <w:right w:val="none" w:sz="0" w:space="0" w:color="auto"/>
                  </w:divBdr>
                  <w:divsChild>
                    <w:div w:id="1259826866">
                      <w:marLeft w:val="0"/>
                      <w:marRight w:val="0"/>
                      <w:marTop w:val="0"/>
                      <w:marBottom w:val="0"/>
                      <w:divBdr>
                        <w:top w:val="none" w:sz="0" w:space="0" w:color="auto"/>
                        <w:left w:val="none" w:sz="0" w:space="0" w:color="auto"/>
                        <w:bottom w:val="none" w:sz="0" w:space="0" w:color="auto"/>
                        <w:right w:val="none" w:sz="0" w:space="0" w:color="auto"/>
                      </w:divBdr>
                      <w:divsChild>
                        <w:div w:id="1296909509">
                          <w:marLeft w:val="0"/>
                          <w:marRight w:val="0"/>
                          <w:marTop w:val="0"/>
                          <w:marBottom w:val="0"/>
                          <w:divBdr>
                            <w:top w:val="none" w:sz="0" w:space="0" w:color="auto"/>
                            <w:left w:val="none" w:sz="0" w:space="0" w:color="auto"/>
                            <w:bottom w:val="none" w:sz="0" w:space="0" w:color="auto"/>
                            <w:right w:val="none" w:sz="0" w:space="0" w:color="auto"/>
                          </w:divBdr>
                          <w:divsChild>
                            <w:div w:id="517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68942">
      <w:bodyDiv w:val="1"/>
      <w:marLeft w:val="0"/>
      <w:marRight w:val="0"/>
      <w:marTop w:val="0"/>
      <w:marBottom w:val="0"/>
      <w:divBdr>
        <w:top w:val="none" w:sz="0" w:space="0" w:color="auto"/>
        <w:left w:val="none" w:sz="0" w:space="0" w:color="auto"/>
        <w:bottom w:val="none" w:sz="0" w:space="0" w:color="auto"/>
        <w:right w:val="none" w:sz="0" w:space="0" w:color="auto"/>
      </w:divBdr>
    </w:div>
    <w:div w:id="1198813910">
      <w:bodyDiv w:val="1"/>
      <w:marLeft w:val="0"/>
      <w:marRight w:val="0"/>
      <w:marTop w:val="0"/>
      <w:marBottom w:val="0"/>
      <w:divBdr>
        <w:top w:val="none" w:sz="0" w:space="0" w:color="auto"/>
        <w:left w:val="none" w:sz="0" w:space="0" w:color="auto"/>
        <w:bottom w:val="none" w:sz="0" w:space="0" w:color="auto"/>
        <w:right w:val="none" w:sz="0" w:space="0" w:color="auto"/>
      </w:divBdr>
    </w:div>
    <w:div w:id="1343436729">
      <w:bodyDiv w:val="1"/>
      <w:marLeft w:val="0"/>
      <w:marRight w:val="0"/>
      <w:marTop w:val="0"/>
      <w:marBottom w:val="0"/>
      <w:divBdr>
        <w:top w:val="none" w:sz="0" w:space="0" w:color="auto"/>
        <w:left w:val="none" w:sz="0" w:space="0" w:color="auto"/>
        <w:bottom w:val="none" w:sz="0" w:space="0" w:color="auto"/>
        <w:right w:val="none" w:sz="0" w:space="0" w:color="auto"/>
      </w:divBdr>
    </w:div>
    <w:div w:id="1382361999">
      <w:bodyDiv w:val="1"/>
      <w:marLeft w:val="0"/>
      <w:marRight w:val="0"/>
      <w:marTop w:val="0"/>
      <w:marBottom w:val="0"/>
      <w:divBdr>
        <w:top w:val="none" w:sz="0" w:space="0" w:color="auto"/>
        <w:left w:val="none" w:sz="0" w:space="0" w:color="auto"/>
        <w:bottom w:val="none" w:sz="0" w:space="0" w:color="auto"/>
        <w:right w:val="none" w:sz="0" w:space="0" w:color="auto"/>
      </w:divBdr>
    </w:div>
    <w:div w:id="1426153900">
      <w:bodyDiv w:val="1"/>
      <w:marLeft w:val="0"/>
      <w:marRight w:val="0"/>
      <w:marTop w:val="0"/>
      <w:marBottom w:val="0"/>
      <w:divBdr>
        <w:top w:val="none" w:sz="0" w:space="0" w:color="auto"/>
        <w:left w:val="none" w:sz="0" w:space="0" w:color="auto"/>
        <w:bottom w:val="none" w:sz="0" w:space="0" w:color="auto"/>
        <w:right w:val="none" w:sz="0" w:space="0" w:color="auto"/>
      </w:divBdr>
    </w:div>
    <w:div w:id="1426730004">
      <w:bodyDiv w:val="1"/>
      <w:marLeft w:val="0"/>
      <w:marRight w:val="0"/>
      <w:marTop w:val="0"/>
      <w:marBottom w:val="0"/>
      <w:divBdr>
        <w:top w:val="none" w:sz="0" w:space="0" w:color="auto"/>
        <w:left w:val="none" w:sz="0" w:space="0" w:color="auto"/>
        <w:bottom w:val="none" w:sz="0" w:space="0" w:color="auto"/>
        <w:right w:val="none" w:sz="0" w:space="0" w:color="auto"/>
      </w:divBdr>
    </w:div>
    <w:div w:id="2066641828">
      <w:bodyDiv w:val="1"/>
      <w:marLeft w:val="0"/>
      <w:marRight w:val="0"/>
      <w:marTop w:val="0"/>
      <w:marBottom w:val="0"/>
      <w:divBdr>
        <w:top w:val="none" w:sz="0" w:space="0" w:color="auto"/>
        <w:left w:val="none" w:sz="0" w:space="0" w:color="auto"/>
        <w:bottom w:val="none" w:sz="0" w:space="0" w:color="auto"/>
        <w:right w:val="none" w:sz="0" w:space="0" w:color="auto"/>
      </w:divBdr>
    </w:div>
    <w:div w:id="2107920193">
      <w:bodyDiv w:val="1"/>
      <w:marLeft w:val="0"/>
      <w:marRight w:val="0"/>
      <w:marTop w:val="0"/>
      <w:marBottom w:val="0"/>
      <w:divBdr>
        <w:top w:val="none" w:sz="0" w:space="0" w:color="auto"/>
        <w:left w:val="none" w:sz="0" w:space="0" w:color="auto"/>
        <w:bottom w:val="none" w:sz="0" w:space="0" w:color="auto"/>
        <w:right w:val="none" w:sz="0" w:space="0" w:color="auto"/>
      </w:divBdr>
      <w:divsChild>
        <w:div w:id="635842023">
          <w:marLeft w:val="0"/>
          <w:marRight w:val="0"/>
          <w:marTop w:val="0"/>
          <w:marBottom w:val="0"/>
          <w:divBdr>
            <w:top w:val="none" w:sz="0" w:space="0" w:color="auto"/>
            <w:left w:val="none" w:sz="0" w:space="0" w:color="auto"/>
            <w:bottom w:val="none" w:sz="0" w:space="0" w:color="auto"/>
            <w:right w:val="none" w:sz="0" w:space="0" w:color="auto"/>
          </w:divBdr>
          <w:divsChild>
            <w:div w:id="157111123">
              <w:marLeft w:val="0"/>
              <w:marRight w:val="0"/>
              <w:marTop w:val="0"/>
              <w:marBottom w:val="0"/>
              <w:divBdr>
                <w:top w:val="none" w:sz="0" w:space="0" w:color="auto"/>
                <w:left w:val="none" w:sz="0" w:space="0" w:color="auto"/>
                <w:bottom w:val="none" w:sz="0" w:space="0" w:color="auto"/>
                <w:right w:val="none" w:sz="0" w:space="0" w:color="auto"/>
              </w:divBdr>
              <w:divsChild>
                <w:div w:id="1362318525">
                  <w:marLeft w:val="0"/>
                  <w:marRight w:val="0"/>
                  <w:marTop w:val="0"/>
                  <w:marBottom w:val="0"/>
                  <w:divBdr>
                    <w:top w:val="none" w:sz="0" w:space="0" w:color="auto"/>
                    <w:left w:val="none" w:sz="0" w:space="0" w:color="auto"/>
                    <w:bottom w:val="none" w:sz="0" w:space="0" w:color="auto"/>
                    <w:right w:val="none" w:sz="0" w:space="0" w:color="auto"/>
                  </w:divBdr>
                  <w:divsChild>
                    <w:div w:id="580725531">
                      <w:marLeft w:val="0"/>
                      <w:marRight w:val="0"/>
                      <w:marTop w:val="0"/>
                      <w:marBottom w:val="0"/>
                      <w:divBdr>
                        <w:top w:val="none" w:sz="0" w:space="0" w:color="auto"/>
                        <w:left w:val="none" w:sz="0" w:space="0" w:color="auto"/>
                        <w:bottom w:val="none" w:sz="0" w:space="0" w:color="auto"/>
                        <w:right w:val="none" w:sz="0" w:space="0" w:color="auto"/>
                      </w:divBdr>
                      <w:divsChild>
                        <w:div w:id="1547374564">
                          <w:marLeft w:val="0"/>
                          <w:marRight w:val="0"/>
                          <w:marTop w:val="0"/>
                          <w:marBottom w:val="0"/>
                          <w:divBdr>
                            <w:top w:val="none" w:sz="0" w:space="0" w:color="auto"/>
                            <w:left w:val="none" w:sz="0" w:space="0" w:color="auto"/>
                            <w:bottom w:val="none" w:sz="0" w:space="0" w:color="auto"/>
                            <w:right w:val="none" w:sz="0" w:space="0" w:color="auto"/>
                          </w:divBdr>
                          <w:divsChild>
                            <w:div w:id="383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112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Santiago</dc:creator>
  <cp:keywords/>
  <dc:description/>
  <cp:lastModifiedBy>Santiago, Matthew W</cp:lastModifiedBy>
  <cp:revision>3</cp:revision>
  <dcterms:created xsi:type="dcterms:W3CDTF">2025-01-23T16:36:00Z</dcterms:created>
  <dcterms:modified xsi:type="dcterms:W3CDTF">2025-01-23T16:41:00Z</dcterms:modified>
</cp:coreProperties>
</file>