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33BE" w14:textId="2F7EF404" w:rsidR="00514ED9" w:rsidRPr="00190927" w:rsidRDefault="00D44A5F" w:rsidP="00190927">
      <w:pPr>
        <w:spacing w:after="0"/>
        <w:rPr>
          <w:bCs/>
        </w:rPr>
      </w:pPr>
      <w:r w:rsidRPr="00190927">
        <w:rPr>
          <w:b/>
        </w:rPr>
        <w:t>Name</w:t>
      </w:r>
      <w:r w:rsidRPr="00190927">
        <w:rPr>
          <w:bCs/>
        </w:rPr>
        <w:t xml:space="preserve">: </w:t>
      </w:r>
      <w:r w:rsidR="0009733A">
        <w:rPr>
          <w:bCs/>
        </w:rPr>
        <w:t>Granule Cell</w:t>
      </w:r>
      <w:r w:rsidRPr="00190927">
        <w:rPr>
          <w:bCs/>
        </w:rPr>
        <w:t xml:space="preserve"> </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104E86" w:rsidRPr="00190927">
        <w:rPr>
          <w:bCs/>
          <w:noProof/>
        </w:rPr>
        <w:t>(</w:t>
      </w:r>
      <w:r w:rsidR="0009733A">
        <w:rPr>
          <w:bCs/>
          <w:noProof/>
        </w:rPr>
        <w:t>Staley</w:t>
      </w:r>
      <w:r w:rsidR="00104E86" w:rsidRPr="00190927">
        <w:rPr>
          <w:bCs/>
          <w:noProof/>
        </w:rPr>
        <w:t xml:space="preserve"> et al. </w:t>
      </w:r>
      <w:r w:rsidR="0009733A">
        <w:rPr>
          <w:bCs/>
          <w:noProof/>
        </w:rPr>
        <w:t>1992</w:t>
      </w:r>
      <w:r w:rsidR="00104E86" w:rsidRPr="00190927">
        <w:rPr>
          <w:bCs/>
          <w:noProof/>
        </w:rPr>
        <w:t>)</w:t>
      </w:r>
      <w:r w:rsidRPr="00190927">
        <w:rPr>
          <w:bCs/>
        </w:rPr>
        <w:fldChar w:fldCharType="end"/>
      </w:r>
      <w:r w:rsidR="00B3330A" w:rsidRPr="00190927">
        <w:rPr>
          <w:bCs/>
        </w:rPr>
        <w:t xml:space="preserve"> –</w:t>
      </w:r>
      <w:r w:rsidR="0009733A">
        <w:rPr>
          <w:bCs/>
        </w:rPr>
        <w:t xml:space="preserve">Dentate Gyrus granule </w:t>
      </w:r>
      <w:r w:rsidR="00B3330A" w:rsidRPr="00190927">
        <w:rPr>
          <w:bCs/>
        </w:rPr>
        <w:t>cell</w:t>
      </w:r>
    </w:p>
    <w:p w14:paraId="62812848" w14:textId="77777777" w:rsidR="009E7C13" w:rsidRPr="009E7C13" w:rsidRDefault="009E7C13" w:rsidP="00190927">
      <w:pPr>
        <w:spacing w:after="0"/>
        <w:rPr>
          <w:b/>
          <w:u w:val="single"/>
        </w:rPr>
      </w:pPr>
      <w:r w:rsidRPr="009E7C13">
        <w:rPr>
          <w:b/>
          <w:u w:val="single"/>
        </w:rPr>
        <w:t>Biological Data</w:t>
      </w:r>
    </w:p>
    <w:p w14:paraId="5E8B735D" w14:textId="26C1EF28"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  </w:t>
      </w:r>
      <m:oMath>
        <m:r>
          <w:rPr>
            <w:rFonts w:ascii="Cambria Math" w:hAnsi="Cambria Math"/>
          </w:rPr>
          <m:t>-84 ±1.0 mV</m:t>
        </m:r>
      </m:oMath>
      <w:r>
        <w:rPr>
          <w:bCs/>
        </w:rPr>
        <w:t xml:space="preserve">   Tau =</w:t>
      </w:r>
      <w:r w:rsidR="00C6298F">
        <w:rPr>
          <w:bCs/>
        </w:rPr>
        <w:t xml:space="preserve"> </w:t>
      </w:r>
      <m:oMath>
        <m:r>
          <w:rPr>
            <w:rFonts w:ascii="Cambria Math" w:hAnsi="Cambria Math"/>
          </w:rPr>
          <m:t>26.9 ±1.2 ms</m:t>
        </m:r>
      </m:oMath>
      <w:r>
        <w:rPr>
          <w:bCs/>
        </w:rPr>
        <w:tab/>
        <w:t xml:space="preserve">Rin = </w:t>
      </w:r>
      <m:oMath>
        <m:r>
          <w:rPr>
            <w:rFonts w:ascii="Cambria Math" w:hAnsi="Cambria Math"/>
          </w:rPr>
          <m:t>228±14.2 M</m:t>
        </m:r>
        <m:r>
          <m:rPr>
            <m:sty m:val="p"/>
          </m:rPr>
          <w:rPr>
            <w:rFonts w:ascii="Cambria Math" w:hAnsi="Cambria Math"/>
          </w:rPr>
          <m:t>Ω</m:t>
        </m:r>
      </m:oMath>
      <w:r w:rsidRPr="00190927">
        <w:rPr>
          <w:bCs/>
        </w:rPr>
        <w:t xml:space="preserve"> </w:t>
      </w:r>
      <w:r w:rsidR="00C6298F" w:rsidRPr="00190927">
        <w:rPr>
          <w:bCs/>
        </w:rPr>
        <w:fldChar w:fldCharType="begin" w:fldLock="1"/>
      </w:r>
      <w:r w:rsidR="00C6298F"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00C6298F" w:rsidRPr="00190927">
        <w:rPr>
          <w:bCs/>
        </w:rPr>
        <w:fldChar w:fldCharType="separate"/>
      </w:r>
      <w:r w:rsidR="00C6298F" w:rsidRPr="00190927">
        <w:rPr>
          <w:bCs/>
          <w:noProof/>
        </w:rPr>
        <w:t>(</w:t>
      </w:r>
      <w:r w:rsidR="00C6298F">
        <w:rPr>
          <w:bCs/>
          <w:noProof/>
        </w:rPr>
        <w:t>Staley</w:t>
      </w:r>
      <w:r w:rsidR="00C6298F" w:rsidRPr="00190927">
        <w:rPr>
          <w:bCs/>
          <w:noProof/>
        </w:rPr>
        <w:t xml:space="preserve"> et al. </w:t>
      </w:r>
      <w:r w:rsidR="00C6298F">
        <w:rPr>
          <w:bCs/>
          <w:noProof/>
        </w:rPr>
        <w:t>1992</w:t>
      </w:r>
      <w:r w:rsidR="00C6298F" w:rsidRPr="00190927">
        <w:rPr>
          <w:bCs/>
          <w:noProof/>
        </w:rPr>
        <w:t>)</w:t>
      </w:r>
      <w:r w:rsidR="00C6298F" w:rsidRPr="00190927">
        <w:rPr>
          <w:bCs/>
        </w:rPr>
        <w:fldChar w:fldCharType="end"/>
      </w:r>
    </w:p>
    <w:p w14:paraId="661E3ADB" w14:textId="5325F1B5" w:rsidR="009E7C13" w:rsidRDefault="00190927" w:rsidP="009E7C13">
      <w:pPr>
        <w:spacing w:after="0"/>
        <w:rPr>
          <w:bCs/>
        </w:rPr>
      </w:pPr>
      <w:r w:rsidRPr="00190927">
        <w:rPr>
          <w:bCs/>
        </w:rPr>
        <w:t>Current injection response</w:t>
      </w:r>
      <w:r w:rsidR="009E7C13">
        <w:rPr>
          <w:bCs/>
        </w:rPr>
        <w:t>s</w:t>
      </w:r>
      <w:r w:rsidRPr="00190927">
        <w:rPr>
          <w:bCs/>
        </w:rPr>
        <w:t xml:space="preserve">: </w:t>
      </w:r>
      <m:oMath>
        <m:r>
          <w:rPr>
            <w:rFonts w:ascii="Cambria Math" w:hAnsi="Cambria Math"/>
          </w:rPr>
          <m:t>0.2 nA</m:t>
        </m:r>
      </m:oMath>
      <w:r w:rsidR="00C6298F">
        <w:rPr>
          <w:rFonts w:eastAsiaTheme="minorEastAsia"/>
          <w:bCs/>
        </w:rPr>
        <w:t xml:space="preserve"> injection, </w:t>
      </w:r>
      <m:oMath>
        <m:r>
          <w:rPr>
            <w:rFonts w:ascii="Cambria Math" w:eastAsiaTheme="minorEastAsia" w:hAnsi="Cambria Math"/>
          </w:rPr>
          <m:t xml:space="preserve">33.33 </m:t>
        </m:r>
        <m:r>
          <w:rPr>
            <w:rFonts w:ascii="Cambria Math" w:eastAsiaTheme="minorEastAsia" w:hAnsi="Cambria Math"/>
          </w:rPr>
          <m:t>hz</m:t>
        </m:r>
      </m:oMath>
      <w:r w:rsidR="00C6298F">
        <w:rPr>
          <w:rFonts w:eastAsiaTheme="minorEastAsia"/>
          <w:bCs/>
        </w:rPr>
        <w:t xml:space="preserve"> spiking frequency</w:t>
      </w:r>
    </w:p>
    <w:p w14:paraId="3DEE5EF1" w14:textId="36D671F6" w:rsidR="009E7C13" w:rsidRPr="009E7C13" w:rsidRDefault="009E7C13" w:rsidP="009E7C13">
      <w:pPr>
        <w:spacing w:after="0"/>
        <w:rPr>
          <w:bCs/>
        </w:rPr>
      </w:pPr>
      <w:r>
        <w:rPr>
          <w:bCs/>
        </w:rPr>
        <w:t>_______________</w:t>
      </w:r>
    </w:p>
    <w:p w14:paraId="77C80840" w14:textId="77777777" w:rsidR="009E7C13" w:rsidRDefault="009E7C13" w:rsidP="009E7C13">
      <w:pPr>
        <w:spacing w:after="0"/>
        <w:rPr>
          <w:b/>
        </w:rPr>
      </w:pPr>
      <w:r>
        <w:rPr>
          <w:b/>
        </w:rPr>
        <w:t>Model data</w:t>
      </w:r>
    </w:p>
    <w:p w14:paraId="5EEBC503" w14:textId="6A0771E3" w:rsidR="009E7C13" w:rsidRPr="00190927" w:rsidRDefault="009E7C13" w:rsidP="009E7C13">
      <w:pPr>
        <w:spacing w:after="0"/>
        <w:rPr>
          <w:bCs/>
        </w:rPr>
      </w:pPr>
      <w:r>
        <w:rPr>
          <w:b/>
        </w:rPr>
        <w:t>Model cell morphology</w:t>
      </w:r>
      <w:r w:rsidRPr="00190927">
        <w:rPr>
          <w:bCs/>
        </w:rPr>
        <w:t xml:space="preserve">: </w:t>
      </w:r>
      <w:r w:rsidR="00707917">
        <w:rPr>
          <w:bCs/>
        </w:rPr>
        <w:t>I</w:t>
      </w:r>
      <w:r w:rsidR="00C6298F">
        <w:rPr>
          <w:bCs/>
        </w:rPr>
        <w:t>ncluded in table</w:t>
      </w:r>
      <w:r w:rsidR="00707917">
        <w:rPr>
          <w:bCs/>
        </w:rPr>
        <w:t xml:space="preserve"> </w:t>
      </w:r>
      <w:r w:rsidR="00FF6342">
        <w:rPr>
          <w:bCs/>
        </w:rPr>
        <w:t>S2</w:t>
      </w:r>
    </w:p>
    <w:p w14:paraId="4DD42712" w14:textId="2D4435B2" w:rsidR="009E7C13" w:rsidRDefault="009E7C13" w:rsidP="00EA2AF8">
      <w:pPr>
        <w:rPr>
          <w:rFonts w:cstheme="minorHAnsi"/>
        </w:rPr>
      </w:pPr>
      <w:r w:rsidRPr="009E7C13">
        <w:rPr>
          <w:rFonts w:cstheme="minorHAnsi"/>
          <w:b/>
          <w:bCs/>
        </w:rPr>
        <w:t>Model cell conductances</w:t>
      </w:r>
      <w:r>
        <w:rPr>
          <w:rFonts w:cstheme="minorHAnsi"/>
        </w:rPr>
        <w:t xml:space="preserve">: </w:t>
      </w:r>
      <w:r w:rsidR="00707917">
        <w:rPr>
          <w:rFonts w:cstheme="minorHAnsi"/>
        </w:rPr>
        <w:t xml:space="preserve">Included in table </w:t>
      </w:r>
      <w:r w:rsidR="00FF6342">
        <w:rPr>
          <w:rFonts w:cstheme="minorHAnsi"/>
        </w:rPr>
        <w:t>S2</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6FF6E37B" w:rsidR="00EF05ED" w:rsidRPr="00A66C15" w:rsidRDefault="00020DB7" w:rsidP="00EF05ED">
      <w:pPr>
        <w:rPr>
          <w:b/>
        </w:rPr>
      </w:pPr>
      <w:r>
        <w:rPr>
          <w:b/>
        </w:rPr>
        <w:t xml:space="preserve">Calculation of </w:t>
      </w:r>
      <w:r w:rsidR="00B3330A">
        <w:rPr>
          <w:b/>
        </w:rPr>
        <w:t xml:space="preserve">model </w:t>
      </w:r>
      <w:r w:rsidR="00707917">
        <w:rPr>
          <w:b/>
        </w:rPr>
        <w:t xml:space="preserve">granule </w:t>
      </w:r>
      <w:r w:rsidR="00B3330A">
        <w:rPr>
          <w:b/>
        </w:rPr>
        <w:t>neuron</w:t>
      </w:r>
      <w:r>
        <w:rPr>
          <w:b/>
        </w:rPr>
        <w:t xml:space="preserve"> passive properties</w:t>
      </w:r>
      <w:r w:rsidR="00B3330A">
        <w:rPr>
          <w:b/>
        </w:rPr>
        <w:t xml:space="preserve">: </w:t>
      </w:r>
    </w:p>
    <w:tbl>
      <w:tblPr>
        <w:tblStyle w:val="TableGrid"/>
        <w:tblW w:w="10896" w:type="dxa"/>
        <w:tblLook w:val="04A0" w:firstRow="1" w:lastRow="0" w:firstColumn="1" w:lastColumn="0" w:noHBand="0" w:noVBand="1"/>
      </w:tblPr>
      <w:tblGrid>
        <w:gridCol w:w="10896"/>
      </w:tblGrid>
      <w:tr w:rsidR="00B80314" w14:paraId="1B013163" w14:textId="77777777" w:rsidTr="00B80314">
        <w:trPr>
          <w:trHeight w:val="4524"/>
        </w:trPr>
        <w:tc>
          <w:tcPr>
            <w:tcW w:w="10896" w:type="dxa"/>
          </w:tcPr>
          <w:p w14:paraId="5688517F" w14:textId="78947F8E" w:rsidR="00B80314" w:rsidRDefault="00B80314" w:rsidP="0009733A">
            <w:pPr>
              <w:rPr>
                <w:b/>
              </w:rPr>
            </w:pPr>
            <w:r>
              <w:rPr>
                <w:b/>
              </w:rPr>
              <w:t xml:space="preserve">1.  </w:t>
            </w:r>
            <w:proofErr w:type="spellStart"/>
            <w:r>
              <w:rPr>
                <w:b/>
              </w:rPr>
              <w:t>V_rest</w:t>
            </w:r>
            <w:proofErr w:type="spellEnd"/>
            <w:r>
              <w:rPr>
                <w:b/>
              </w:rPr>
              <w:t xml:space="preserve"> = -84 mV</w:t>
            </w:r>
          </w:p>
          <w:p w14:paraId="7221CEE4" w14:textId="1F7E826A" w:rsidR="00B80314" w:rsidRDefault="00B80314" w:rsidP="0009733A">
            <w:r>
              <w:rPr>
                <w:b/>
              </w:rPr>
              <w:t xml:space="preserve">2.  </w:t>
            </w:r>
            <w:r w:rsidRPr="006C2E93">
              <w:rPr>
                <w:b/>
              </w:rPr>
              <w:t>Calculation of time constant:</w:t>
            </w:r>
          </w:p>
          <w:p w14:paraId="160AF438" w14:textId="497C3574" w:rsidR="00B80314" w:rsidRDefault="00B80314" w:rsidP="0009733A">
            <w:pPr>
              <w:rPr>
                <w:b/>
              </w:rPr>
            </w:pPr>
            <w:r>
              <w:t>Start inject: 300ms / -84 mV</w:t>
            </w:r>
            <w:r>
              <w:br/>
              <w:t>Final Value: ~ -</w:t>
            </w:r>
            <w:r w:rsidR="000917FB">
              <w:t>112</w:t>
            </w:r>
            <w:r>
              <w:t>.</w:t>
            </w:r>
            <w:r w:rsidR="000917FB">
              <w:t>941</w:t>
            </w:r>
            <w:r>
              <w:t>mV</w:t>
            </w:r>
            <w:r>
              <w:br/>
              <w:t>Difference: -</w:t>
            </w:r>
            <w:r w:rsidR="000917FB">
              <w:t>28</w:t>
            </w:r>
            <w:r>
              <w:t>.</w:t>
            </w:r>
            <w:r w:rsidR="000917FB">
              <w:t>941</w:t>
            </w:r>
            <w:r>
              <w:t xml:space="preserve">   | 63.2% = </w:t>
            </w:r>
            <w:r w:rsidR="000917FB">
              <w:t>18</w:t>
            </w:r>
            <w:r w:rsidRPr="008174FC">
              <w:t>.</w:t>
            </w:r>
            <w:r w:rsidR="000917FB">
              <w:t>2907</w:t>
            </w:r>
            <w:r>
              <w:t xml:space="preserve">   | -</w:t>
            </w:r>
            <w:r w:rsidR="000917FB">
              <w:t>84</w:t>
            </w:r>
            <w:r>
              <w:t xml:space="preserve"> </w:t>
            </w:r>
            <w:r w:rsidR="000917FB">
              <w:t>–</w:t>
            </w:r>
            <w:r>
              <w:t xml:space="preserve"> </w:t>
            </w:r>
            <w:r w:rsidR="000917FB">
              <w:t>18.2907</w:t>
            </w:r>
            <w:r>
              <w:t xml:space="preserve"> = </w:t>
            </w:r>
            <w:r w:rsidRPr="00640B6C">
              <w:t>-</w:t>
            </w:r>
            <w:r w:rsidR="000917FB">
              <w:t xml:space="preserve">102.2907 </w:t>
            </w:r>
            <w:r>
              <w:br/>
              <w:t xml:space="preserve">Time at </w:t>
            </w:r>
            <w:r w:rsidRPr="00640B6C">
              <w:t>-</w:t>
            </w:r>
            <w:r w:rsidR="000917FB">
              <w:t>102.2907</w:t>
            </w:r>
            <w:r>
              <w:t>:</w:t>
            </w:r>
            <w:r w:rsidR="000917FB">
              <w:t xml:space="preserve"> 327</w:t>
            </w:r>
            <w:r>
              <w:t>.7ms</w:t>
            </w:r>
            <w:r>
              <w:br/>
            </w:r>
            <w:r w:rsidRPr="00201ABC">
              <w:rPr>
                <w:rFonts w:cstheme="minorHAnsi"/>
              </w:rPr>
              <w:t>τ</w:t>
            </w:r>
            <w:r w:rsidRPr="00201ABC">
              <w:t xml:space="preserve"> </w:t>
            </w:r>
            <w:r>
              <w:t xml:space="preserve">= </w:t>
            </w:r>
            <w:r w:rsidR="000917FB">
              <w:t>327.7</w:t>
            </w:r>
            <w:r>
              <w:t>-</w:t>
            </w:r>
            <w:r w:rsidR="000917FB">
              <w:t>300</w:t>
            </w:r>
            <w:r>
              <w:t xml:space="preserve"> </w:t>
            </w:r>
            <w:r>
              <w:br/>
            </w:r>
            <w:proofErr w:type="gramStart"/>
            <w:r w:rsidRPr="00201ABC">
              <w:rPr>
                <w:rFonts w:cstheme="minorHAnsi"/>
              </w:rPr>
              <w:t>τ</w:t>
            </w:r>
            <w:r w:rsidRPr="00201ABC">
              <w:t xml:space="preserve">  =</w:t>
            </w:r>
            <w:proofErr w:type="gramEnd"/>
            <w:r w:rsidRPr="00201ABC">
              <w:t xml:space="preserve"> </w:t>
            </w:r>
            <w:r w:rsidR="000917FB">
              <w:t>27</w:t>
            </w:r>
            <w:r w:rsidRPr="00201ABC">
              <w:t>.7 ms</w:t>
            </w:r>
          </w:p>
          <w:p w14:paraId="3D47D7B1" w14:textId="25D4F9FF" w:rsidR="00B80314" w:rsidRDefault="00B80314" w:rsidP="0009733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w:t>
            </w:r>
            <w:r w:rsidR="000917FB">
              <w:rPr>
                <w:b/>
              </w:rPr>
              <w:t>277</w:t>
            </w:r>
            <w:r>
              <w:rPr>
                <w:b/>
              </w:rPr>
              <w:t xml:space="preserve"> s</w:t>
            </w:r>
          </w:p>
          <w:p w14:paraId="082A88DB" w14:textId="77777777" w:rsidR="00B80314" w:rsidRDefault="00B80314" w:rsidP="0009733A"/>
          <w:p w14:paraId="62D0EE15" w14:textId="535DE26A" w:rsidR="00B80314" w:rsidRDefault="00B80314" w:rsidP="0009733A">
            <w:r>
              <w:rPr>
                <w:b/>
              </w:rPr>
              <w:t>3. Input Resistance</w:t>
            </w:r>
          </w:p>
          <w:p w14:paraId="044A8223" w14:textId="47632174" w:rsidR="00B80314" w:rsidRDefault="00B80314" w:rsidP="0009733A">
            <w:pPr>
              <w:rPr>
                <w:rFonts w:cstheme="minorHAnsi"/>
              </w:rPr>
            </w:pPr>
            <w:r>
              <w:rPr>
                <w:rFonts w:cstheme="minorHAnsi"/>
              </w:rPr>
              <w:t>Δ</w:t>
            </w:r>
            <w:r>
              <w:t>V/</w:t>
            </w:r>
            <w:r>
              <w:rPr>
                <w:rFonts w:cstheme="minorHAnsi"/>
              </w:rPr>
              <w:t>ΔI = ( -</w:t>
            </w:r>
            <w:r w:rsidR="00533F44">
              <w:rPr>
                <w:rFonts w:cstheme="minorHAnsi"/>
              </w:rPr>
              <w:t>84</w:t>
            </w:r>
            <w:r>
              <w:rPr>
                <w:rFonts w:cstheme="minorHAnsi"/>
              </w:rPr>
              <w:t xml:space="preserve"> – (-</w:t>
            </w:r>
            <w:r w:rsidR="000917FB">
              <w:rPr>
                <w:rFonts w:cstheme="minorHAnsi"/>
              </w:rPr>
              <w:t>112</w:t>
            </w:r>
            <w:r>
              <w:rPr>
                <w:rFonts w:cstheme="minorHAnsi"/>
              </w:rPr>
              <w:t>.</w:t>
            </w:r>
            <w:r w:rsidR="000917FB">
              <w:rPr>
                <w:rFonts w:cstheme="minorHAnsi"/>
              </w:rPr>
              <w:t>941</w:t>
            </w:r>
            <w:proofErr w:type="gramStart"/>
            <w:r>
              <w:rPr>
                <w:rFonts w:cstheme="minorHAnsi"/>
              </w:rPr>
              <w:t>) )</w:t>
            </w:r>
            <w:proofErr w:type="gramEnd"/>
            <w:r>
              <w:rPr>
                <w:rFonts w:cstheme="minorHAnsi"/>
              </w:rPr>
              <w:t>/( 0 – (-</w:t>
            </w:r>
            <w:r w:rsidR="000917FB">
              <w:rPr>
                <w:rFonts w:cstheme="minorHAnsi"/>
              </w:rPr>
              <w:t>1</w:t>
            </w:r>
            <w:r>
              <w:rPr>
                <w:rFonts w:cstheme="minorHAnsi"/>
              </w:rPr>
              <w:t>0</w:t>
            </w:r>
            <w:r w:rsidR="000917FB">
              <w:rPr>
                <w:rFonts w:cstheme="minorHAnsi"/>
              </w:rPr>
              <w:t>0</w:t>
            </w:r>
            <w:r>
              <w:rPr>
                <w:rFonts w:cstheme="minorHAnsi"/>
              </w:rPr>
              <w:t xml:space="preserve">) ) </w:t>
            </w:r>
          </w:p>
          <w:p w14:paraId="396F1869" w14:textId="04BB6869" w:rsidR="00B80314" w:rsidRDefault="00B80314" w:rsidP="0009733A">
            <w:pPr>
              <w:rPr>
                <w:rFonts w:cstheme="minorHAnsi"/>
                <w:b/>
              </w:rPr>
            </w:pPr>
            <w:r>
              <w:rPr>
                <w:rFonts w:cstheme="minorHAnsi"/>
              </w:rPr>
              <w:t xml:space="preserve">           = </w:t>
            </w:r>
            <w:r w:rsidR="000917FB">
              <w:t>28.941</w:t>
            </w:r>
            <w:r>
              <w:rPr>
                <w:rFonts w:cstheme="minorHAnsi"/>
              </w:rPr>
              <w:t xml:space="preserve">/ </w:t>
            </w:r>
            <w:r w:rsidR="000917FB">
              <w:rPr>
                <w:rFonts w:cstheme="minorHAnsi"/>
              </w:rPr>
              <w:t>10</w:t>
            </w:r>
            <w:r>
              <w:rPr>
                <w:rFonts w:cstheme="minorHAnsi"/>
              </w:rPr>
              <w:t xml:space="preserve">0pA </w:t>
            </w:r>
            <w:r>
              <w:rPr>
                <w:rFonts w:cstheme="minorHAnsi"/>
              </w:rPr>
              <w:br/>
              <w:t xml:space="preserve">           = .0</w:t>
            </w:r>
            <w:r w:rsidR="000917FB">
              <w:rPr>
                <w:rFonts w:cstheme="minorHAnsi"/>
              </w:rPr>
              <w:t>28941</w:t>
            </w:r>
            <w:r>
              <w:rPr>
                <w:rFonts w:cstheme="minorHAnsi"/>
              </w:rPr>
              <w:t xml:space="preserve"> V/.000000000</w:t>
            </w:r>
            <w:r w:rsidR="000917FB">
              <w:rPr>
                <w:rFonts w:cstheme="minorHAnsi"/>
              </w:rPr>
              <w:t>1</w:t>
            </w:r>
            <w:r>
              <w:rPr>
                <w:rFonts w:cstheme="minorHAnsi"/>
              </w:rPr>
              <w:t xml:space="preserve"> A = </w:t>
            </w:r>
            <w:r w:rsidR="000917FB">
              <w:rPr>
                <w:rStyle w:val="cwcot"/>
              </w:rPr>
              <w:t>289410000</w:t>
            </w:r>
            <w:r>
              <w:rPr>
                <w:rStyle w:val="cwcot"/>
              </w:rPr>
              <w:t xml:space="preserve">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sidR="001D3087">
              <w:rPr>
                <w:b/>
              </w:rPr>
              <w:t>289</w:t>
            </w:r>
            <w:r>
              <w:rPr>
                <w:b/>
              </w:rPr>
              <w:t>.</w:t>
            </w:r>
            <w:r w:rsidR="001D3087">
              <w:rPr>
                <w:b/>
              </w:rPr>
              <w:t>41</w:t>
            </w:r>
            <w:r w:rsidRPr="00201ABC">
              <w:rPr>
                <w:b/>
              </w:rPr>
              <w:t xml:space="preserve"> M</w:t>
            </w:r>
            <w:r w:rsidRPr="00201ABC">
              <w:rPr>
                <w:rFonts w:cstheme="minorHAnsi"/>
                <w:b/>
              </w:rPr>
              <w:t>Ω</w:t>
            </w:r>
          </w:p>
          <w:p w14:paraId="7608479D" w14:textId="77777777" w:rsidR="00B80314" w:rsidRDefault="00B80314" w:rsidP="0009733A"/>
        </w:tc>
      </w:tr>
    </w:tbl>
    <w:p w14:paraId="0FDE0F7A" w14:textId="3463F7D3" w:rsidR="00867F79" w:rsidRDefault="00867F79" w:rsidP="00514ED9">
      <w:pPr>
        <w:widowControl w:val="0"/>
        <w:autoSpaceDE w:val="0"/>
        <w:autoSpaceDN w:val="0"/>
        <w:adjustRightInd w:val="0"/>
        <w:spacing w:line="240" w:lineRule="auto"/>
      </w:pPr>
    </w:p>
    <w:p w14:paraId="7A27203B" w14:textId="77777777" w:rsidR="00514ED9" w:rsidRDefault="00514ED9" w:rsidP="00514ED9">
      <w:pPr>
        <w:widowControl w:val="0"/>
        <w:autoSpaceDE w:val="0"/>
        <w:autoSpaceDN w:val="0"/>
        <w:adjustRightInd w:val="0"/>
        <w:spacing w:line="240" w:lineRule="auto"/>
      </w:pPr>
    </w:p>
    <w:p w14:paraId="6FA53D08" w14:textId="1A403418" w:rsidR="00A66C15" w:rsidRPr="00A66C15" w:rsidRDefault="00190927" w:rsidP="00D44A5F">
      <w:pPr>
        <w:widowControl w:val="0"/>
        <w:autoSpaceDE w:val="0"/>
        <w:autoSpaceDN w:val="0"/>
        <w:adjustRightInd w:val="0"/>
        <w:spacing w:line="240" w:lineRule="auto"/>
        <w:ind w:left="480" w:hanging="480"/>
        <w:rPr>
          <w:b/>
        </w:rPr>
      </w:pPr>
      <w:r>
        <w:rPr>
          <w:b/>
        </w:rPr>
        <w:t>Match with reported current injection responses (provide all)</w:t>
      </w:r>
      <w:r w:rsidR="00A66C15" w:rsidRPr="00A66C15">
        <w:rPr>
          <w:b/>
        </w:rPr>
        <w:t>:</w:t>
      </w:r>
    </w:p>
    <w:tbl>
      <w:tblPr>
        <w:tblStyle w:val="TableGrid"/>
        <w:tblW w:w="0" w:type="auto"/>
        <w:tblLook w:val="04A0" w:firstRow="1" w:lastRow="0" w:firstColumn="1" w:lastColumn="0" w:noHBand="0" w:noVBand="1"/>
      </w:tblPr>
      <w:tblGrid>
        <w:gridCol w:w="625"/>
        <w:gridCol w:w="5449"/>
        <w:gridCol w:w="4716"/>
      </w:tblGrid>
      <w:tr w:rsidR="001D3087" w14:paraId="0E65CB57" w14:textId="77777777" w:rsidTr="00867F79">
        <w:tc>
          <w:tcPr>
            <w:tcW w:w="625" w:type="dxa"/>
          </w:tcPr>
          <w:p w14:paraId="1317E1FD" w14:textId="6ACB4244" w:rsidR="00A66C15" w:rsidRPr="00530274" w:rsidRDefault="00A66C15" w:rsidP="0009733A">
            <w:pPr>
              <w:rPr>
                <w:b/>
              </w:rPr>
            </w:pPr>
            <w:r w:rsidRPr="00530274">
              <w:rPr>
                <w:b/>
              </w:rPr>
              <w:t>-</w:t>
            </w:r>
            <w:r w:rsidR="001D3087">
              <w:rPr>
                <w:b/>
              </w:rPr>
              <w:t>200</w:t>
            </w:r>
          </w:p>
        </w:tc>
        <w:tc>
          <w:tcPr>
            <w:tcW w:w="5452" w:type="dxa"/>
          </w:tcPr>
          <w:p w14:paraId="164553B8" w14:textId="011A0536" w:rsidR="00A66C15" w:rsidRDefault="001D3087" w:rsidP="0009733A">
            <w:r w:rsidRPr="001D3087">
              <w:rPr>
                <w:noProof/>
              </w:rPr>
              <w:drawing>
                <wp:inline distT="0" distB="0" distL="0" distR="0" wp14:anchorId="5E46A9F5" wp14:editId="4F4E0A54">
                  <wp:extent cx="2931379" cy="2202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9540" cy="2208311"/>
                          </a:xfrm>
                          <a:prstGeom prst="rect">
                            <a:avLst/>
                          </a:prstGeom>
                        </pic:spPr>
                      </pic:pic>
                    </a:graphicData>
                  </a:graphic>
                </wp:inline>
              </w:drawing>
            </w:r>
          </w:p>
        </w:tc>
        <w:tc>
          <w:tcPr>
            <w:tcW w:w="4713" w:type="dxa"/>
          </w:tcPr>
          <w:p w14:paraId="7CA98525" w14:textId="6CFFBB6E" w:rsidR="00A66C15" w:rsidRDefault="001D3087" w:rsidP="0009733A">
            <w:r w:rsidRPr="001D3087">
              <w:rPr>
                <w:noProof/>
              </w:rPr>
              <w:drawing>
                <wp:inline distT="0" distB="0" distL="0" distR="0" wp14:anchorId="29C658F5" wp14:editId="1D94CF41">
                  <wp:extent cx="2853149" cy="21793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8841" cy="2198944"/>
                          </a:xfrm>
                          <a:prstGeom prst="rect">
                            <a:avLst/>
                          </a:prstGeom>
                        </pic:spPr>
                      </pic:pic>
                    </a:graphicData>
                  </a:graphic>
                </wp:inline>
              </w:drawing>
            </w:r>
          </w:p>
        </w:tc>
      </w:tr>
      <w:tr w:rsidR="001D3087" w:rsidRPr="00530274" w14:paraId="41473DE9" w14:textId="77777777" w:rsidTr="00867F79">
        <w:tc>
          <w:tcPr>
            <w:tcW w:w="625" w:type="dxa"/>
          </w:tcPr>
          <w:p w14:paraId="7236757C" w14:textId="77777777" w:rsidR="00A66C15" w:rsidRPr="00530274" w:rsidRDefault="00A66C15" w:rsidP="0009733A">
            <w:pPr>
              <w:rPr>
                <w:b/>
              </w:rPr>
            </w:pPr>
            <w:proofErr w:type="spellStart"/>
            <w:r w:rsidRPr="00530274">
              <w:rPr>
                <w:b/>
              </w:rPr>
              <w:t>pA</w:t>
            </w:r>
            <w:proofErr w:type="spellEnd"/>
            <w:r w:rsidRPr="00530274">
              <w:rPr>
                <w:b/>
              </w:rPr>
              <w:t xml:space="preserve"> </w:t>
            </w:r>
          </w:p>
        </w:tc>
        <w:tc>
          <w:tcPr>
            <w:tcW w:w="5452" w:type="dxa"/>
          </w:tcPr>
          <w:p w14:paraId="2E460EAF" w14:textId="77777777" w:rsidR="00A66C15" w:rsidRPr="00530274" w:rsidRDefault="00A66C15" w:rsidP="0009733A">
            <w:pPr>
              <w:rPr>
                <w:b/>
              </w:rPr>
            </w:pPr>
            <w:r>
              <w:rPr>
                <w:b/>
              </w:rPr>
              <w:t>Real</w:t>
            </w:r>
          </w:p>
        </w:tc>
        <w:tc>
          <w:tcPr>
            <w:tcW w:w="4713" w:type="dxa"/>
          </w:tcPr>
          <w:p w14:paraId="50AE1422" w14:textId="77777777" w:rsidR="00A66C15" w:rsidRPr="00530274" w:rsidRDefault="00A66C15" w:rsidP="0009733A">
            <w:pPr>
              <w:rPr>
                <w:b/>
              </w:rPr>
            </w:pPr>
            <w:r w:rsidRPr="00530274">
              <w:rPr>
                <w:b/>
              </w:rPr>
              <w:t>Cell Model</w:t>
            </w:r>
          </w:p>
        </w:tc>
      </w:tr>
    </w:tbl>
    <w:p w14:paraId="4197D497" w14:textId="70DFB864" w:rsidR="00A66C15" w:rsidRDefault="00A66C15" w:rsidP="00D44A5F">
      <w:pPr>
        <w:widowControl w:val="0"/>
        <w:autoSpaceDE w:val="0"/>
        <w:autoSpaceDN w:val="0"/>
        <w:adjustRightInd w:val="0"/>
        <w:spacing w:line="240" w:lineRule="auto"/>
        <w:ind w:left="480" w:hanging="480"/>
        <w:rPr>
          <w:b/>
        </w:rPr>
      </w:pPr>
    </w:p>
    <w:p w14:paraId="65554C1C" w14:textId="6845B9A4" w:rsidR="005861E9" w:rsidRPr="001D3087" w:rsidRDefault="001D3087" w:rsidP="001D3087">
      <w:pPr>
        <w:widowControl w:val="0"/>
        <w:autoSpaceDE w:val="0"/>
        <w:autoSpaceDN w:val="0"/>
        <w:adjustRightInd w:val="0"/>
        <w:spacing w:line="240" w:lineRule="auto"/>
        <w:ind w:left="480" w:hanging="480"/>
        <w:rPr>
          <w:b/>
        </w:rPr>
      </w:pPr>
      <w:r>
        <w:rPr>
          <w:b/>
        </w:rPr>
        <w:t xml:space="preserve">Note: </w:t>
      </w:r>
      <w:r w:rsidRPr="001D3087">
        <w:rPr>
          <w:bCs/>
        </w:rPr>
        <w:t xml:space="preserve">this model does not exhibit adaptation behavior as reported in </w:t>
      </w:r>
      <w:r w:rsidRPr="00190927">
        <w:rPr>
          <w:bCs/>
        </w:rPr>
        <w:fldChar w:fldCharType="begin" w:fldLock="1"/>
      </w:r>
      <w:r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Pr="00190927">
        <w:rPr>
          <w:bCs/>
          <w:noProof/>
        </w:rPr>
        <w:t>(</w:t>
      </w:r>
      <w:r>
        <w:rPr>
          <w:bCs/>
          <w:noProof/>
        </w:rPr>
        <w:t>Staley</w:t>
      </w:r>
      <w:r w:rsidRPr="00190927">
        <w:rPr>
          <w:bCs/>
          <w:noProof/>
        </w:rPr>
        <w:t xml:space="preserve"> et al. </w:t>
      </w:r>
      <w:r>
        <w:rPr>
          <w:bCs/>
          <w:noProof/>
        </w:rPr>
        <w:t>1992</w:t>
      </w:r>
      <w:r w:rsidRPr="00190927">
        <w:rPr>
          <w:bCs/>
          <w:noProof/>
        </w:rPr>
        <w:t>)</w:t>
      </w:r>
      <w:r w:rsidRPr="00190927">
        <w:rPr>
          <w:bCs/>
        </w:rPr>
        <w:fldChar w:fldCharType="end"/>
      </w:r>
      <w:r>
        <w:rPr>
          <w:bCs/>
        </w:rPr>
        <w:t>. This is a known weakness in this model and requires further improvement.</w:t>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09733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09733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09733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09733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09733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CB26EC" w:rsidP="0009733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09733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w:t>
            </w:r>
            <w:proofErr w:type="spellStart"/>
            <w:r w:rsidRPr="00573AD2">
              <w:rPr>
                <w:rFonts w:ascii="Cambria Math" w:hAnsi="Cambria Math"/>
                <w:b/>
                <w:bCs/>
                <w:sz w:val="20"/>
                <w:szCs w:val="20"/>
              </w:rPr>
              <w:t>ms</w:t>
            </w:r>
            <w:proofErr w:type="spellEnd"/>
            <w:r w:rsidRPr="00573AD2">
              <w:rPr>
                <w:rFonts w:ascii="Cambria Math" w:hAnsi="Cambria Math"/>
                <w:b/>
                <w:bCs/>
                <w:sz w:val="20"/>
                <w:szCs w:val="20"/>
              </w:rPr>
              <w:t>)</w:t>
            </w:r>
          </w:p>
        </w:tc>
      </w:tr>
      <w:tr w:rsidR="000B455B" w:rsidRPr="00975DE8" w14:paraId="79886905" w14:textId="77777777" w:rsidTr="0009733A">
        <w:trPr>
          <w:trHeight w:hRule="exact" w:val="619"/>
        </w:trPr>
        <w:tc>
          <w:tcPr>
            <w:tcW w:w="495" w:type="pct"/>
            <w:vMerge w:val="restart"/>
            <w:tcBorders>
              <w:top w:val="double" w:sz="4" w:space="0" w:color="auto"/>
            </w:tcBorders>
            <w:shd w:val="clear" w:color="auto" w:fill="auto"/>
            <w:vAlign w:val="center"/>
          </w:tcPr>
          <w:p w14:paraId="432F7054" w14:textId="77777777" w:rsidR="000B455B" w:rsidRPr="00975DE8" w:rsidRDefault="000B455B" w:rsidP="0009733A">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421C6018" w:rsidR="000B455B" w:rsidRPr="00737F17" w:rsidRDefault="00CB26EC" w:rsidP="0009733A">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1- exp</m:t>
                    </m:r>
                    <m:r>
                      <w:rPr>
                        <w:rFonts w:ascii="Cambria Math" w:hAnsi="Cambria Math"/>
                        <w:sz w:val="16"/>
                        <w:szCs w:val="20"/>
                      </w:rPr>
                      <m:t xml:space="preserve">[-(V+30)/7.2] </m:t>
                    </m:r>
                  </m:den>
                </m:f>
              </m:oMath>
            </m:oMathPara>
          </w:p>
        </w:tc>
        <w:tc>
          <w:tcPr>
            <w:tcW w:w="917" w:type="pct"/>
            <w:tcBorders>
              <w:top w:val="double" w:sz="4" w:space="0" w:color="auto"/>
            </w:tcBorders>
            <w:shd w:val="clear" w:color="auto" w:fill="auto"/>
            <w:vAlign w:val="center"/>
          </w:tcPr>
          <w:p w14:paraId="370C0AE6" w14:textId="41EDC1F1" w:rsidR="000B455B" w:rsidRPr="00737F17" w:rsidRDefault="00CB26EC" w:rsidP="0009733A">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-0.124(V+30)</m:t>
                    </m:r>
                  </m:num>
                  <m:den>
                    <m:r>
                      <m:rPr>
                        <m:sty m:val="p"/>
                      </m:rPr>
                      <w:rPr>
                        <w:rFonts w:ascii="Cambria Math" w:hAnsi="Cambria Math"/>
                        <w:sz w:val="16"/>
                        <w:szCs w:val="20"/>
                      </w:rPr>
                      <m:t>1-exp</m:t>
                    </m:r>
                    <m:r>
                      <w:rPr>
                        <w:rFonts w:ascii="Cambria Math" w:hAnsi="Cambria Math"/>
                        <w:sz w:val="16"/>
                        <w:szCs w:val="20"/>
                      </w:rPr>
                      <m:t xml:space="preserve">[(V+30)/7.2] </m:t>
                    </m:r>
                  </m:den>
                </m:f>
              </m:oMath>
            </m:oMathPara>
          </w:p>
        </w:tc>
        <w:tc>
          <w:tcPr>
            <w:tcW w:w="960" w:type="pct"/>
            <w:tcBorders>
              <w:top w:val="double" w:sz="4" w:space="0" w:color="auto"/>
            </w:tcBorders>
            <w:shd w:val="clear" w:color="auto" w:fill="auto"/>
            <w:vAlign w:val="center"/>
          </w:tcPr>
          <w:p w14:paraId="640AFB09" w14:textId="348008FD" w:rsidR="000B455B" w:rsidRPr="00737F17" w:rsidRDefault="00CB26EC" w:rsidP="0009733A">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(-V-38.43)/7.2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5BB47BB5" w:rsidR="000B455B" w:rsidRPr="00737F17" w:rsidRDefault="00CB26EC" w:rsidP="0009733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d>
                      <m:dPr>
                        <m:ctrlPr>
                          <w:rPr>
                            <w:rFonts w:ascii="Cambria Math" w:hAnsi="Cambria Math"/>
                            <w:i/>
                            <w:sz w:val="16"/>
                            <w:szCs w:val="20"/>
                          </w:rPr>
                        </m:ctrlPr>
                      </m:dPr>
                      <m:e>
                        <m:r>
                          <w:rPr>
                            <w:rFonts w:ascii="Cambria Math" w:hAnsi="Cambria Math"/>
                            <w:sz w:val="16"/>
                            <w:szCs w:val="20"/>
                          </w:rPr>
                          <m:t>α+β</m:t>
                        </m:r>
                      </m:e>
                    </m:d>
                  </m:den>
                </m:f>
              </m:oMath>
            </m:oMathPara>
          </w:p>
        </w:tc>
      </w:tr>
      <w:tr w:rsidR="000B455B" w:rsidRPr="00975DE8" w14:paraId="4AA0CC6A" w14:textId="77777777" w:rsidTr="0009733A">
        <w:trPr>
          <w:trHeight w:hRule="exact" w:val="598"/>
        </w:trPr>
        <w:tc>
          <w:tcPr>
            <w:tcW w:w="495" w:type="pct"/>
            <w:vMerge/>
            <w:shd w:val="clear" w:color="auto" w:fill="auto"/>
            <w:vAlign w:val="center"/>
          </w:tcPr>
          <w:p w14:paraId="0131D942" w14:textId="77777777" w:rsidR="000B455B" w:rsidRPr="00975DE8" w:rsidRDefault="000B455B" w:rsidP="0009733A">
            <w:pPr>
              <w:jc w:val="center"/>
              <w:rPr>
                <w:rFonts w:ascii="Calibri" w:hAnsi="Calibri"/>
                <w:bCs/>
                <w:sz w:val="14"/>
                <w:szCs w:val="20"/>
              </w:rPr>
            </w:pPr>
          </w:p>
        </w:tc>
        <w:tc>
          <w:tcPr>
            <w:tcW w:w="502" w:type="pct"/>
            <w:shd w:val="clear" w:color="auto" w:fill="auto"/>
            <w:vAlign w:val="center"/>
          </w:tcPr>
          <w:p w14:paraId="706876F1"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46DD7D9C" w:rsidR="000B455B" w:rsidRPr="00737F17" w:rsidRDefault="00CB26EC"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1-exp</m:t>
                    </m:r>
                    <m:r>
                      <w:rPr>
                        <w:rFonts w:ascii="Cambria Math" w:hAnsi="Cambria Math"/>
                        <w:sz w:val="16"/>
                        <w:szCs w:val="20"/>
                      </w:rPr>
                      <m:t xml:space="preserve">[-(V+45)/1.5] </m:t>
                    </m:r>
                  </m:den>
                </m:f>
              </m:oMath>
            </m:oMathPara>
          </w:p>
        </w:tc>
        <w:tc>
          <w:tcPr>
            <w:tcW w:w="917" w:type="pct"/>
            <w:shd w:val="clear" w:color="auto" w:fill="auto"/>
            <w:vAlign w:val="center"/>
          </w:tcPr>
          <w:p w14:paraId="2CF14C2F" w14:textId="7706AA0B" w:rsidR="000B455B" w:rsidRPr="00737F17" w:rsidRDefault="00CB26EC"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-0.01(V+45)</m:t>
                    </m:r>
                  </m:num>
                  <m:den>
                    <m:r>
                      <m:rPr>
                        <m:sty m:val="p"/>
                      </m:rPr>
                      <w:rPr>
                        <w:rFonts w:ascii="Cambria Math" w:hAnsi="Cambria Math"/>
                        <w:sz w:val="16"/>
                        <w:szCs w:val="20"/>
                      </w:rPr>
                      <m:t>1-exp</m:t>
                    </m:r>
                    <m:r>
                      <w:rPr>
                        <w:rFonts w:ascii="Cambria Math" w:hAnsi="Cambria Math"/>
                        <w:sz w:val="16"/>
                        <w:szCs w:val="20"/>
                      </w:rPr>
                      <m:t xml:space="preserve">[(V+45)/1.5] </m:t>
                    </m:r>
                  </m:den>
                </m:f>
              </m:oMath>
            </m:oMathPara>
          </w:p>
        </w:tc>
        <w:tc>
          <w:tcPr>
            <w:tcW w:w="960" w:type="pct"/>
            <w:shd w:val="clear" w:color="auto" w:fill="auto"/>
            <w:vAlign w:val="center"/>
          </w:tcPr>
          <w:p w14:paraId="4004826A" w14:textId="77777777" w:rsidR="000B455B" w:rsidRPr="00737F17" w:rsidRDefault="00CB26EC" w:rsidP="0009733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(V+50)/4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0B455B" w:rsidRPr="00737F17" w:rsidRDefault="00CB26EC" w:rsidP="0009733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0B455B" w:rsidRPr="00975DE8" w14:paraId="3D963071" w14:textId="77777777" w:rsidTr="0009733A">
        <w:trPr>
          <w:trHeight w:hRule="exact" w:val="710"/>
        </w:trPr>
        <w:tc>
          <w:tcPr>
            <w:tcW w:w="495" w:type="pct"/>
            <w:shd w:val="clear" w:color="auto" w:fill="auto"/>
            <w:vAlign w:val="center"/>
          </w:tcPr>
          <w:p w14:paraId="15CED43B" w14:textId="77777777" w:rsidR="000B455B" w:rsidRPr="00975DE8" w:rsidRDefault="000B455B" w:rsidP="0009733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695FF75A" w:rsidR="000B455B" w:rsidRPr="00737F17" w:rsidRDefault="000B455B" w:rsidP="0009733A">
            <w:pPr>
              <w:jc w:val="center"/>
              <w:rPr>
                <w:sz w:val="16"/>
                <w:szCs w:val="20"/>
              </w:rPr>
            </w:pPr>
            <m:oMathPara>
              <m:oMath>
                <m:r>
                  <m:rPr>
                    <m:sty m:val="p"/>
                  </m:rPr>
                  <w:rPr>
                    <w:rFonts w:ascii="Cambria Math" w:hAnsi="Cambria Math"/>
                    <w:sz w:val="16"/>
                    <w:szCs w:val="20"/>
                  </w:rPr>
                  <m:t>exp[-0.1246(V+15)]</m:t>
                </m:r>
              </m:oMath>
            </m:oMathPara>
          </w:p>
        </w:tc>
        <w:tc>
          <w:tcPr>
            <w:tcW w:w="917" w:type="pct"/>
            <w:shd w:val="clear" w:color="auto" w:fill="auto"/>
            <w:vAlign w:val="center"/>
          </w:tcPr>
          <w:p w14:paraId="2432C230" w14:textId="1FD048BC" w:rsidR="000B455B" w:rsidRPr="00737F17" w:rsidRDefault="000B455B" w:rsidP="0009733A">
            <w:pPr>
              <w:jc w:val="center"/>
              <w:rPr>
                <w:sz w:val="16"/>
                <w:szCs w:val="20"/>
              </w:rPr>
            </w:pPr>
            <m:oMathPara>
              <m:oMath>
                <m:r>
                  <m:rPr>
                    <m:sty m:val="p"/>
                  </m:rPr>
                  <w:rPr>
                    <w:rFonts w:ascii="Cambria Math" w:hAnsi="Cambria Math"/>
                    <w:sz w:val="16"/>
                    <w:szCs w:val="20"/>
                  </w:rPr>
                  <m:t>exp[-0.0872(V+15)]</m:t>
                </m:r>
              </m:oMath>
            </m:oMathPara>
          </w:p>
        </w:tc>
        <w:tc>
          <w:tcPr>
            <w:tcW w:w="960" w:type="pct"/>
            <w:shd w:val="clear" w:color="auto" w:fill="auto"/>
            <w:vAlign w:val="center"/>
          </w:tcPr>
          <w:p w14:paraId="4A507910" w14:textId="77777777" w:rsidR="000B455B" w:rsidRPr="00737F17" w:rsidRDefault="00CB26EC" w:rsidP="0009733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(-V-15)/11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77777777" w:rsidR="000B455B" w:rsidRPr="00737F17" w:rsidRDefault="00CB26EC"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50*β</m:t>
                    </m:r>
                  </m:num>
                  <m:den>
                    <m:r>
                      <w:rPr>
                        <w:rFonts w:ascii="Cambria Math" w:hAnsi="Cambria Math"/>
                        <w:sz w:val="16"/>
                        <w:szCs w:val="20"/>
                      </w:rPr>
                      <m:t>1+α</m:t>
                    </m:r>
                  </m:den>
                </m:f>
              </m:oMath>
            </m:oMathPara>
          </w:p>
        </w:tc>
      </w:tr>
      <w:tr w:rsidR="000B455B" w:rsidRPr="00975DE8" w14:paraId="7337AF0E" w14:textId="77777777" w:rsidTr="0009733A">
        <w:trPr>
          <w:trHeight w:hRule="exact" w:val="664"/>
        </w:trPr>
        <w:tc>
          <w:tcPr>
            <w:tcW w:w="495" w:type="pct"/>
            <w:shd w:val="clear" w:color="auto" w:fill="auto"/>
            <w:vAlign w:val="center"/>
          </w:tcPr>
          <w:p w14:paraId="45CD3CF0" w14:textId="77777777" w:rsidR="000B455B" w:rsidRPr="00975DE8" w:rsidRDefault="000B455B" w:rsidP="0009733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H</w:t>
            </w:r>
          </w:p>
        </w:tc>
        <w:tc>
          <w:tcPr>
            <w:tcW w:w="502" w:type="pct"/>
            <w:shd w:val="clear" w:color="auto" w:fill="auto"/>
            <w:vAlign w:val="center"/>
          </w:tcPr>
          <w:p w14:paraId="6DA78D84"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4FECE1FC" w14:textId="77777777" w:rsidR="000B455B" w:rsidRPr="00737F17" w:rsidRDefault="000B455B" w:rsidP="0009733A">
            <w:pPr>
              <w:jc w:val="center"/>
              <w:rPr>
                <w:sz w:val="16"/>
                <w:szCs w:val="20"/>
              </w:rPr>
            </w:pPr>
            <m:oMathPara>
              <m:oMath>
                <m:r>
                  <m:rPr>
                    <m:sty m:val="p"/>
                  </m:rPr>
                  <w:rPr>
                    <w:rFonts w:ascii="Cambria Math" w:hAnsi="Cambria Math"/>
                    <w:sz w:val="16"/>
                    <w:szCs w:val="20"/>
                  </w:rPr>
                  <m:t>exp[0.0832(V+75)]</m:t>
                </m:r>
              </m:oMath>
            </m:oMathPara>
          </w:p>
        </w:tc>
        <w:tc>
          <w:tcPr>
            <w:tcW w:w="917" w:type="pct"/>
            <w:shd w:val="clear" w:color="auto" w:fill="auto"/>
            <w:vAlign w:val="center"/>
          </w:tcPr>
          <w:p w14:paraId="4DA66314" w14:textId="77777777" w:rsidR="000B455B" w:rsidRPr="00737F17" w:rsidRDefault="000B455B" w:rsidP="0009733A">
            <w:pPr>
              <w:jc w:val="center"/>
              <w:rPr>
                <w:sz w:val="16"/>
                <w:szCs w:val="20"/>
              </w:rPr>
            </w:pPr>
            <m:oMathPara>
              <m:oMath>
                <m:r>
                  <m:rPr>
                    <m:sty m:val="p"/>
                  </m:rPr>
                  <w:rPr>
                    <w:rFonts w:ascii="Cambria Math" w:hAnsi="Cambria Math"/>
                    <w:sz w:val="16"/>
                    <w:szCs w:val="20"/>
                  </w:rPr>
                  <m:t>exp</m:t>
                </m:r>
                <m:r>
                  <w:rPr>
                    <w:rFonts w:ascii="Cambria Math" w:hAnsi="Cambria Math"/>
                    <w:sz w:val="16"/>
                    <w:szCs w:val="20"/>
                  </w:rPr>
                  <m:t>[0.0333</m:t>
                </m:r>
                <m:d>
                  <m:dPr>
                    <m:ctrlPr>
                      <w:rPr>
                        <w:rFonts w:ascii="Cambria Math" w:hAnsi="Cambria Math"/>
                        <w:i/>
                        <w:sz w:val="16"/>
                        <w:szCs w:val="20"/>
                      </w:rPr>
                    </m:ctrlPr>
                  </m:dPr>
                  <m:e>
                    <m:r>
                      <w:rPr>
                        <w:rFonts w:ascii="Cambria Math" w:hAnsi="Cambria Math"/>
                        <w:sz w:val="16"/>
                        <w:szCs w:val="20"/>
                      </w:rPr>
                      <m:t>V+75</m:t>
                    </m:r>
                  </m:e>
                </m:d>
                <m:r>
                  <w:rPr>
                    <w:rFonts w:ascii="Cambria Math" w:hAnsi="Cambria Math"/>
                    <w:sz w:val="16"/>
                    <w:szCs w:val="20"/>
                  </w:rPr>
                  <m:t>]</m:t>
                </m:r>
              </m:oMath>
            </m:oMathPara>
          </w:p>
        </w:tc>
        <w:tc>
          <w:tcPr>
            <w:tcW w:w="960" w:type="pct"/>
            <w:shd w:val="clear" w:color="auto" w:fill="auto"/>
            <w:vAlign w:val="center"/>
          </w:tcPr>
          <w:p w14:paraId="0333CAA4" w14:textId="77777777" w:rsidR="000B455B" w:rsidRPr="00737F17" w:rsidRDefault="00CB26EC"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(V+81)/8</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74F196EB" w14:textId="1C39E952" w:rsidR="000B455B" w:rsidRPr="00737F17" w:rsidRDefault="00CB26EC"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β</m:t>
                    </m:r>
                  </m:num>
                  <m:den>
                    <m:r>
                      <w:rPr>
                        <w:rFonts w:ascii="Cambria Math" w:hAnsi="Cambria Math"/>
                        <w:sz w:val="16"/>
                        <w:szCs w:val="20"/>
                      </w:rPr>
                      <m:t>1.983*</m:t>
                    </m:r>
                    <m:sSup>
                      <m:sSupPr>
                        <m:ctrlPr>
                          <w:rPr>
                            <w:rFonts w:ascii="Cambria Math" w:hAnsi="Cambria Math"/>
                            <w:i/>
                            <w:sz w:val="16"/>
                            <w:szCs w:val="20"/>
                          </w:rPr>
                        </m:ctrlPr>
                      </m:sSupPr>
                      <m:e>
                        <m:r>
                          <w:rPr>
                            <w:rFonts w:ascii="Cambria Math" w:hAnsi="Cambria Math"/>
                            <w:sz w:val="16"/>
                            <w:szCs w:val="20"/>
                          </w:rPr>
                          <m:t>10</m:t>
                        </m:r>
                      </m:e>
                      <m:sup>
                        <m:r>
                          <w:rPr>
                            <w:rFonts w:ascii="Cambria Math" w:hAnsi="Cambria Math"/>
                            <w:sz w:val="16"/>
                            <w:szCs w:val="20"/>
                          </w:rPr>
                          <m:t>-4</m:t>
                        </m:r>
                      </m:sup>
                    </m:sSup>
                    <m:r>
                      <w:rPr>
                        <w:rFonts w:ascii="Cambria Math" w:hAnsi="Cambria Math"/>
                        <w:sz w:val="16"/>
                        <w:szCs w:val="20"/>
                      </w:rPr>
                      <m:t>(1+α)</m:t>
                    </m:r>
                  </m:den>
                </m:f>
              </m:oMath>
            </m:oMathPara>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1172" w:type="dxa"/>
        <w:tblLayout w:type="fixed"/>
        <w:tblLook w:val="04A0" w:firstRow="1" w:lastRow="0" w:firstColumn="1" w:lastColumn="0" w:noHBand="0" w:noVBand="1"/>
      </w:tblPr>
      <w:tblGrid>
        <w:gridCol w:w="3933"/>
        <w:gridCol w:w="2101"/>
        <w:gridCol w:w="2568"/>
        <w:gridCol w:w="2570"/>
      </w:tblGrid>
      <w:tr w:rsidR="001D4DF6" w:rsidRPr="00E04177" w14:paraId="6543CFEF" w14:textId="63F9C85E" w:rsidTr="00FF6342">
        <w:trPr>
          <w:trHeight w:val="171"/>
        </w:trPr>
        <w:tc>
          <w:tcPr>
            <w:tcW w:w="3933" w:type="dxa"/>
          </w:tcPr>
          <w:p w14:paraId="5515F37F" w14:textId="77777777" w:rsidR="001D4DF6" w:rsidRPr="00E04177" w:rsidRDefault="001D4DF6" w:rsidP="0009733A">
            <w:pPr>
              <w:jc w:val="center"/>
              <w:rPr>
                <w:szCs w:val="24"/>
              </w:rPr>
            </w:pPr>
          </w:p>
        </w:tc>
        <w:tc>
          <w:tcPr>
            <w:tcW w:w="7239" w:type="dxa"/>
            <w:gridSpan w:val="3"/>
          </w:tcPr>
          <w:p w14:paraId="0088A361" w14:textId="02056AE4" w:rsidR="001D4DF6" w:rsidRDefault="001D4DF6" w:rsidP="001D4DF6">
            <w:pPr>
              <w:jc w:val="center"/>
              <w:rPr>
                <w:szCs w:val="24"/>
              </w:rPr>
            </w:pPr>
            <w:r>
              <w:rPr>
                <w:szCs w:val="24"/>
              </w:rPr>
              <w:t>Dentate Gyrus Granule Cell</w:t>
            </w:r>
          </w:p>
        </w:tc>
      </w:tr>
      <w:tr w:rsidR="00553D8E" w:rsidRPr="00E04177" w14:paraId="684AD3D3" w14:textId="14F082ED" w:rsidTr="00FF6342">
        <w:trPr>
          <w:trHeight w:val="159"/>
        </w:trPr>
        <w:tc>
          <w:tcPr>
            <w:tcW w:w="3933" w:type="dxa"/>
          </w:tcPr>
          <w:p w14:paraId="758CFE7B" w14:textId="77777777" w:rsidR="00553D8E" w:rsidRPr="00E04177" w:rsidRDefault="00553D8E" w:rsidP="0009733A">
            <w:pPr>
              <w:rPr>
                <w:szCs w:val="24"/>
              </w:rPr>
            </w:pPr>
          </w:p>
        </w:tc>
        <w:tc>
          <w:tcPr>
            <w:tcW w:w="2101" w:type="dxa"/>
          </w:tcPr>
          <w:p w14:paraId="3D0B9BC9" w14:textId="7D8900CA" w:rsidR="00553D8E" w:rsidRPr="00E04177" w:rsidRDefault="001D4DF6" w:rsidP="0009733A">
            <w:pPr>
              <w:jc w:val="center"/>
              <w:rPr>
                <w:szCs w:val="24"/>
              </w:rPr>
            </w:pPr>
            <w:r>
              <w:rPr>
                <w:szCs w:val="24"/>
              </w:rPr>
              <w:t>S</w:t>
            </w:r>
            <w:r w:rsidR="00553D8E" w:rsidRPr="00E04177">
              <w:rPr>
                <w:szCs w:val="24"/>
              </w:rPr>
              <w:t>oma</w:t>
            </w:r>
          </w:p>
        </w:tc>
        <w:tc>
          <w:tcPr>
            <w:tcW w:w="2568" w:type="dxa"/>
          </w:tcPr>
          <w:p w14:paraId="01644577" w14:textId="480E88C8" w:rsidR="00553D8E" w:rsidRPr="00E04177" w:rsidRDefault="001D4DF6" w:rsidP="0009733A">
            <w:pPr>
              <w:jc w:val="center"/>
              <w:rPr>
                <w:szCs w:val="24"/>
              </w:rPr>
            </w:pPr>
            <w:r w:rsidRPr="00E04177">
              <w:rPr>
                <w:szCs w:val="24"/>
              </w:rPr>
              <w:t>D</w:t>
            </w:r>
            <w:r w:rsidR="00553D8E" w:rsidRPr="00E04177">
              <w:rPr>
                <w:szCs w:val="24"/>
              </w:rPr>
              <w:t>endrite</w:t>
            </w:r>
            <w:r>
              <w:rPr>
                <w:szCs w:val="24"/>
              </w:rPr>
              <w:t xml:space="preserve"> 0</w:t>
            </w:r>
          </w:p>
        </w:tc>
        <w:tc>
          <w:tcPr>
            <w:tcW w:w="2569" w:type="dxa"/>
          </w:tcPr>
          <w:p w14:paraId="69DB8AE6" w14:textId="43F6C3E4" w:rsidR="00553D8E" w:rsidRPr="00E04177" w:rsidRDefault="001D4DF6" w:rsidP="0009733A">
            <w:pPr>
              <w:jc w:val="center"/>
              <w:rPr>
                <w:szCs w:val="24"/>
              </w:rPr>
            </w:pPr>
            <w:r>
              <w:rPr>
                <w:szCs w:val="24"/>
              </w:rPr>
              <w:t>Dendrite 1</w:t>
            </w:r>
          </w:p>
        </w:tc>
      </w:tr>
      <w:tr w:rsidR="00553D8E" w:rsidRPr="00E04177" w14:paraId="642B42B6" w14:textId="266C85DE" w:rsidTr="00FF6342">
        <w:trPr>
          <w:trHeight w:val="171"/>
        </w:trPr>
        <w:tc>
          <w:tcPr>
            <w:tcW w:w="3933" w:type="dxa"/>
          </w:tcPr>
          <w:p w14:paraId="19AD2AF5" w14:textId="77777777" w:rsidR="00553D8E" w:rsidRPr="00E04177" w:rsidRDefault="00553D8E" w:rsidP="0009733A">
            <w:pPr>
              <w:rPr>
                <w:szCs w:val="24"/>
              </w:rPr>
            </w:pPr>
            <w:r w:rsidRPr="00E04177">
              <w:rPr>
                <w:szCs w:val="24"/>
              </w:rPr>
              <w:t>Cm (µF/cm</w:t>
            </w:r>
            <w:r w:rsidRPr="00E04177">
              <w:rPr>
                <w:szCs w:val="24"/>
                <w:vertAlign w:val="superscript"/>
              </w:rPr>
              <w:t>2</w:t>
            </w:r>
            <w:r w:rsidRPr="00E04177">
              <w:rPr>
                <w:szCs w:val="24"/>
              </w:rPr>
              <w:t>)</w:t>
            </w:r>
          </w:p>
        </w:tc>
        <w:tc>
          <w:tcPr>
            <w:tcW w:w="2101" w:type="dxa"/>
          </w:tcPr>
          <w:p w14:paraId="2355C2A9" w14:textId="77777777" w:rsidR="00553D8E" w:rsidRPr="00E04177" w:rsidRDefault="00553D8E" w:rsidP="0009733A">
            <w:pPr>
              <w:jc w:val="center"/>
              <w:rPr>
                <w:szCs w:val="24"/>
              </w:rPr>
            </w:pPr>
            <w:r w:rsidRPr="00E04177">
              <w:rPr>
                <w:szCs w:val="24"/>
              </w:rPr>
              <w:t>0.8</w:t>
            </w:r>
          </w:p>
        </w:tc>
        <w:tc>
          <w:tcPr>
            <w:tcW w:w="2568" w:type="dxa"/>
          </w:tcPr>
          <w:p w14:paraId="2C199614" w14:textId="77777777" w:rsidR="00553D8E" w:rsidRPr="00E04177" w:rsidRDefault="00553D8E" w:rsidP="0009733A">
            <w:pPr>
              <w:jc w:val="center"/>
              <w:rPr>
                <w:szCs w:val="24"/>
              </w:rPr>
            </w:pPr>
            <w:r w:rsidRPr="00E04177">
              <w:rPr>
                <w:szCs w:val="24"/>
              </w:rPr>
              <w:t>0.8</w:t>
            </w:r>
          </w:p>
        </w:tc>
        <w:tc>
          <w:tcPr>
            <w:tcW w:w="2569" w:type="dxa"/>
          </w:tcPr>
          <w:p w14:paraId="2C584B73" w14:textId="65998B32" w:rsidR="00553D8E" w:rsidRPr="00E04177" w:rsidRDefault="001D4DF6" w:rsidP="0009733A">
            <w:pPr>
              <w:jc w:val="center"/>
              <w:rPr>
                <w:szCs w:val="24"/>
              </w:rPr>
            </w:pPr>
            <w:r>
              <w:rPr>
                <w:szCs w:val="24"/>
              </w:rPr>
              <w:t>0.8</w:t>
            </w:r>
          </w:p>
        </w:tc>
      </w:tr>
      <w:tr w:rsidR="00553D8E" w:rsidRPr="00E04177" w14:paraId="48002B6C" w14:textId="52533E49" w:rsidTr="00FF6342">
        <w:trPr>
          <w:trHeight w:val="171"/>
        </w:trPr>
        <w:tc>
          <w:tcPr>
            <w:tcW w:w="3933" w:type="dxa"/>
          </w:tcPr>
          <w:p w14:paraId="6AAB27BE" w14:textId="77777777" w:rsidR="00553D8E" w:rsidRPr="00E04177" w:rsidRDefault="00553D8E" w:rsidP="0009733A">
            <w:pPr>
              <w:rPr>
                <w:szCs w:val="24"/>
              </w:rPr>
            </w:pPr>
            <w:r w:rsidRPr="00E04177">
              <w:rPr>
                <w:szCs w:val="24"/>
              </w:rPr>
              <w:t>Ra (</w:t>
            </w:r>
            <w:proofErr w:type="spellStart"/>
            <w:r w:rsidRPr="00E04177">
              <w:rPr>
                <w:szCs w:val="24"/>
              </w:rPr>
              <w:t>Ωcm</w:t>
            </w:r>
            <w:proofErr w:type="spellEnd"/>
            <w:r w:rsidRPr="00E04177">
              <w:rPr>
                <w:szCs w:val="24"/>
              </w:rPr>
              <w:t>)</w:t>
            </w:r>
          </w:p>
        </w:tc>
        <w:tc>
          <w:tcPr>
            <w:tcW w:w="2101" w:type="dxa"/>
          </w:tcPr>
          <w:p w14:paraId="432085E1" w14:textId="179EA055" w:rsidR="00553D8E" w:rsidRPr="00E04177" w:rsidRDefault="00553D8E" w:rsidP="0009733A">
            <w:pPr>
              <w:jc w:val="center"/>
              <w:rPr>
                <w:szCs w:val="24"/>
              </w:rPr>
            </w:pPr>
            <w:r>
              <w:rPr>
                <w:szCs w:val="24"/>
              </w:rPr>
              <w:t>35.4</w:t>
            </w:r>
          </w:p>
        </w:tc>
        <w:tc>
          <w:tcPr>
            <w:tcW w:w="2568" w:type="dxa"/>
          </w:tcPr>
          <w:p w14:paraId="51BCEB1E" w14:textId="03354F21" w:rsidR="00553D8E" w:rsidRPr="00E04177" w:rsidRDefault="00553D8E" w:rsidP="0009733A">
            <w:pPr>
              <w:jc w:val="center"/>
              <w:rPr>
                <w:szCs w:val="24"/>
              </w:rPr>
            </w:pPr>
            <w:r>
              <w:rPr>
                <w:szCs w:val="24"/>
              </w:rPr>
              <w:t>35.4</w:t>
            </w:r>
          </w:p>
        </w:tc>
        <w:tc>
          <w:tcPr>
            <w:tcW w:w="2569" w:type="dxa"/>
          </w:tcPr>
          <w:p w14:paraId="5E89699C" w14:textId="5FAAB64D" w:rsidR="00553D8E" w:rsidRDefault="001D4DF6" w:rsidP="0009733A">
            <w:pPr>
              <w:jc w:val="center"/>
              <w:rPr>
                <w:szCs w:val="24"/>
              </w:rPr>
            </w:pPr>
            <w:r>
              <w:rPr>
                <w:szCs w:val="24"/>
              </w:rPr>
              <w:t>35.4</w:t>
            </w:r>
          </w:p>
        </w:tc>
      </w:tr>
      <w:tr w:rsidR="001D4DF6" w:rsidRPr="00E04177" w14:paraId="024FBEC0" w14:textId="77777777" w:rsidTr="00FF6342">
        <w:trPr>
          <w:trHeight w:val="171"/>
        </w:trPr>
        <w:tc>
          <w:tcPr>
            <w:tcW w:w="3933" w:type="dxa"/>
          </w:tcPr>
          <w:p w14:paraId="56A82CD7" w14:textId="10F5F857" w:rsidR="001D4DF6" w:rsidRPr="00E04177" w:rsidRDefault="001D4DF6" w:rsidP="0009733A">
            <w:pPr>
              <w:rPr>
                <w:szCs w:val="24"/>
              </w:rPr>
            </w:pPr>
            <w:r>
              <w:rPr>
                <w:szCs w:val="24"/>
              </w:rPr>
              <w:t>diam (</w:t>
            </w:r>
            <w:r>
              <w:rPr>
                <w:rFonts w:cstheme="minorHAnsi"/>
                <w:szCs w:val="24"/>
              </w:rPr>
              <w:t>µ</w:t>
            </w:r>
            <w:r>
              <w:rPr>
                <w:szCs w:val="24"/>
              </w:rPr>
              <w:t>m)</w:t>
            </w:r>
          </w:p>
        </w:tc>
        <w:tc>
          <w:tcPr>
            <w:tcW w:w="2101" w:type="dxa"/>
          </w:tcPr>
          <w:p w14:paraId="0CCD1EBB" w14:textId="65D96B51" w:rsidR="001D4DF6" w:rsidRDefault="001D4DF6" w:rsidP="0009733A">
            <w:pPr>
              <w:jc w:val="center"/>
              <w:rPr>
                <w:szCs w:val="24"/>
              </w:rPr>
            </w:pPr>
            <w:r>
              <w:rPr>
                <w:szCs w:val="24"/>
              </w:rPr>
              <w:t>15</w:t>
            </w:r>
          </w:p>
        </w:tc>
        <w:tc>
          <w:tcPr>
            <w:tcW w:w="2568" w:type="dxa"/>
          </w:tcPr>
          <w:p w14:paraId="3420B19E" w14:textId="60F6E435" w:rsidR="001D4DF6" w:rsidRDefault="001D4DF6" w:rsidP="0009733A">
            <w:pPr>
              <w:jc w:val="center"/>
              <w:rPr>
                <w:szCs w:val="24"/>
              </w:rPr>
            </w:pPr>
            <w:r>
              <w:rPr>
                <w:szCs w:val="24"/>
              </w:rPr>
              <w:t>3</w:t>
            </w:r>
          </w:p>
        </w:tc>
        <w:tc>
          <w:tcPr>
            <w:tcW w:w="2569" w:type="dxa"/>
          </w:tcPr>
          <w:p w14:paraId="654AD163" w14:textId="7A9DA0AA" w:rsidR="001D4DF6" w:rsidRDefault="001D4DF6" w:rsidP="0009733A">
            <w:pPr>
              <w:jc w:val="center"/>
              <w:rPr>
                <w:szCs w:val="24"/>
              </w:rPr>
            </w:pPr>
            <w:r>
              <w:rPr>
                <w:szCs w:val="24"/>
              </w:rPr>
              <w:t>5</w:t>
            </w:r>
          </w:p>
        </w:tc>
      </w:tr>
      <w:tr w:rsidR="001D4DF6" w:rsidRPr="00E04177" w14:paraId="5745780A" w14:textId="77777777" w:rsidTr="00FF6342">
        <w:trPr>
          <w:trHeight w:val="171"/>
        </w:trPr>
        <w:tc>
          <w:tcPr>
            <w:tcW w:w="3933" w:type="dxa"/>
          </w:tcPr>
          <w:p w14:paraId="35A0C8C5" w14:textId="5B5688F4" w:rsidR="001D4DF6" w:rsidRPr="00E04177" w:rsidRDefault="001D4DF6" w:rsidP="0009733A">
            <w:pPr>
              <w:rPr>
                <w:szCs w:val="24"/>
              </w:rPr>
            </w:pPr>
            <w:r>
              <w:rPr>
                <w:szCs w:val="24"/>
              </w:rPr>
              <w:t>L (</w:t>
            </w:r>
            <w:r>
              <w:rPr>
                <w:rFonts w:cstheme="minorHAnsi"/>
                <w:szCs w:val="24"/>
              </w:rPr>
              <w:t>µ</w:t>
            </w:r>
            <w:r>
              <w:rPr>
                <w:szCs w:val="24"/>
              </w:rPr>
              <w:t>m)</w:t>
            </w:r>
          </w:p>
        </w:tc>
        <w:tc>
          <w:tcPr>
            <w:tcW w:w="2101" w:type="dxa"/>
          </w:tcPr>
          <w:p w14:paraId="7442EC94" w14:textId="0765BD01" w:rsidR="001D4DF6" w:rsidRDefault="001D4DF6" w:rsidP="0009733A">
            <w:pPr>
              <w:jc w:val="center"/>
              <w:rPr>
                <w:szCs w:val="24"/>
              </w:rPr>
            </w:pPr>
            <w:r>
              <w:rPr>
                <w:szCs w:val="24"/>
              </w:rPr>
              <w:t>20</w:t>
            </w:r>
          </w:p>
        </w:tc>
        <w:tc>
          <w:tcPr>
            <w:tcW w:w="2568" w:type="dxa"/>
          </w:tcPr>
          <w:p w14:paraId="467AE0C0" w14:textId="557E691D" w:rsidR="001D4DF6" w:rsidRDefault="001D4DF6" w:rsidP="0009733A">
            <w:pPr>
              <w:jc w:val="center"/>
              <w:rPr>
                <w:szCs w:val="24"/>
              </w:rPr>
            </w:pPr>
            <w:r>
              <w:rPr>
                <w:szCs w:val="24"/>
              </w:rPr>
              <w:t>270</w:t>
            </w:r>
          </w:p>
        </w:tc>
        <w:tc>
          <w:tcPr>
            <w:tcW w:w="2569" w:type="dxa"/>
          </w:tcPr>
          <w:p w14:paraId="730D10AB" w14:textId="3E227A79" w:rsidR="001D4DF6" w:rsidRDefault="001D4DF6" w:rsidP="0009733A">
            <w:pPr>
              <w:jc w:val="center"/>
              <w:rPr>
                <w:szCs w:val="24"/>
              </w:rPr>
            </w:pPr>
            <w:r>
              <w:rPr>
                <w:szCs w:val="24"/>
              </w:rPr>
              <w:t>555</w:t>
            </w:r>
          </w:p>
        </w:tc>
      </w:tr>
      <w:tr w:rsidR="001D4DF6" w:rsidRPr="00E04177" w14:paraId="33FDD5F8" w14:textId="77777777" w:rsidTr="00FF6342">
        <w:trPr>
          <w:trHeight w:val="171"/>
        </w:trPr>
        <w:tc>
          <w:tcPr>
            <w:tcW w:w="3933" w:type="dxa"/>
          </w:tcPr>
          <w:p w14:paraId="40F27FF2" w14:textId="020FEB74" w:rsidR="001D4DF6" w:rsidRPr="00E04177" w:rsidRDefault="001D4DF6" w:rsidP="0009733A">
            <w:pPr>
              <w:rPr>
                <w:szCs w:val="24"/>
              </w:rPr>
            </w:pPr>
            <w:proofErr w:type="spellStart"/>
            <w:r>
              <w:rPr>
                <w:szCs w:val="24"/>
              </w:rPr>
              <w:t>nseg</w:t>
            </w:r>
            <w:proofErr w:type="spellEnd"/>
          </w:p>
        </w:tc>
        <w:tc>
          <w:tcPr>
            <w:tcW w:w="2101" w:type="dxa"/>
          </w:tcPr>
          <w:p w14:paraId="32234626" w14:textId="4BC14AB9" w:rsidR="001D4DF6" w:rsidRDefault="001D4DF6" w:rsidP="0009733A">
            <w:pPr>
              <w:jc w:val="center"/>
              <w:rPr>
                <w:szCs w:val="24"/>
              </w:rPr>
            </w:pPr>
            <w:r>
              <w:rPr>
                <w:szCs w:val="24"/>
              </w:rPr>
              <w:t>1</w:t>
            </w:r>
          </w:p>
        </w:tc>
        <w:tc>
          <w:tcPr>
            <w:tcW w:w="2568" w:type="dxa"/>
          </w:tcPr>
          <w:p w14:paraId="0E46F47A" w14:textId="515C8215" w:rsidR="001D4DF6" w:rsidRDefault="001D4DF6" w:rsidP="0009733A">
            <w:pPr>
              <w:jc w:val="center"/>
              <w:rPr>
                <w:szCs w:val="24"/>
              </w:rPr>
            </w:pPr>
            <w:r>
              <w:rPr>
                <w:szCs w:val="24"/>
              </w:rPr>
              <w:t>8</w:t>
            </w:r>
          </w:p>
        </w:tc>
        <w:tc>
          <w:tcPr>
            <w:tcW w:w="2569" w:type="dxa"/>
          </w:tcPr>
          <w:p w14:paraId="531DA989" w14:textId="64F74887" w:rsidR="001D4DF6" w:rsidRDefault="001D4DF6" w:rsidP="0009733A">
            <w:pPr>
              <w:jc w:val="center"/>
              <w:rPr>
                <w:szCs w:val="24"/>
              </w:rPr>
            </w:pPr>
            <w:r>
              <w:rPr>
                <w:szCs w:val="24"/>
              </w:rPr>
              <w:t>7</w:t>
            </w:r>
          </w:p>
        </w:tc>
      </w:tr>
      <w:tr w:rsidR="00553D8E" w:rsidRPr="00E04177" w14:paraId="48D42D9E" w14:textId="58A55F82" w:rsidTr="00FF6342">
        <w:trPr>
          <w:trHeight w:val="1753"/>
        </w:trPr>
        <w:tc>
          <w:tcPr>
            <w:tcW w:w="3933" w:type="dxa"/>
          </w:tcPr>
          <w:p w14:paraId="498EAB85" w14:textId="77777777" w:rsidR="00553D8E" w:rsidRPr="00E04177" w:rsidRDefault="00553D8E" w:rsidP="0009733A">
            <w:pPr>
              <w:rPr>
                <w:szCs w:val="24"/>
              </w:rPr>
            </w:pPr>
            <w:r w:rsidRPr="00E04177">
              <w:rPr>
                <w:szCs w:val="24"/>
              </w:rPr>
              <w:t>Conductance</w:t>
            </w:r>
          </w:p>
          <w:p w14:paraId="0156ECA1" w14:textId="77777777" w:rsidR="00553D8E" w:rsidRPr="00E04177" w:rsidRDefault="00553D8E" w:rsidP="0009733A">
            <w:pPr>
              <w:rPr>
                <w:szCs w:val="24"/>
              </w:rPr>
            </w:pPr>
            <w:r w:rsidRPr="00E04177">
              <w:rPr>
                <w:szCs w:val="24"/>
              </w:rPr>
              <w:t>(mho/cm</w:t>
            </w:r>
            <w:r w:rsidRPr="00E04177">
              <w:rPr>
                <w:szCs w:val="24"/>
                <w:vertAlign w:val="superscript"/>
              </w:rPr>
              <w:t>2</w:t>
            </w:r>
            <w:r w:rsidRPr="00E04177">
              <w:rPr>
                <w:szCs w:val="24"/>
              </w:rPr>
              <w:t>)</w:t>
            </w:r>
          </w:p>
          <w:p w14:paraId="7EC091C2" w14:textId="77777777" w:rsidR="00553D8E" w:rsidRPr="00E04177" w:rsidRDefault="00553D8E" w:rsidP="0009733A">
            <w:pPr>
              <w:rPr>
                <w:szCs w:val="24"/>
              </w:rPr>
            </w:pPr>
            <w:proofErr w:type="spellStart"/>
            <w:r w:rsidRPr="00E04177">
              <w:rPr>
                <w:szCs w:val="24"/>
              </w:rPr>
              <w:t>gNabar</w:t>
            </w:r>
            <w:proofErr w:type="spellEnd"/>
          </w:p>
          <w:p w14:paraId="3CA4C54D" w14:textId="77777777" w:rsidR="00553D8E" w:rsidRPr="00E04177" w:rsidRDefault="00553D8E" w:rsidP="0009733A">
            <w:pPr>
              <w:rPr>
                <w:szCs w:val="24"/>
              </w:rPr>
            </w:pPr>
            <w:proofErr w:type="spellStart"/>
            <w:r w:rsidRPr="00E04177">
              <w:rPr>
                <w:szCs w:val="24"/>
              </w:rPr>
              <w:t>gKdrbar</w:t>
            </w:r>
            <w:proofErr w:type="spellEnd"/>
          </w:p>
          <w:p w14:paraId="1831E9BA" w14:textId="77777777" w:rsidR="00553D8E" w:rsidRPr="00E04177" w:rsidRDefault="00553D8E" w:rsidP="0009733A">
            <w:pPr>
              <w:rPr>
                <w:szCs w:val="24"/>
              </w:rPr>
            </w:pPr>
            <w:proofErr w:type="spellStart"/>
            <w:r w:rsidRPr="00E04177">
              <w:rPr>
                <w:szCs w:val="24"/>
              </w:rPr>
              <w:t>gLeak</w:t>
            </w:r>
            <w:proofErr w:type="spellEnd"/>
          </w:p>
          <w:p w14:paraId="67B0B991" w14:textId="49083284" w:rsidR="00553D8E" w:rsidRPr="00E04177" w:rsidRDefault="00553D8E" w:rsidP="0009733A">
            <w:pPr>
              <w:rPr>
                <w:szCs w:val="24"/>
              </w:rPr>
            </w:pPr>
            <w:proofErr w:type="spellStart"/>
            <w:r w:rsidRPr="00E04177">
              <w:rPr>
                <w:szCs w:val="24"/>
              </w:rPr>
              <w:t>gHdbar</w:t>
            </w:r>
            <w:proofErr w:type="spellEnd"/>
          </w:p>
        </w:tc>
        <w:tc>
          <w:tcPr>
            <w:tcW w:w="2101" w:type="dxa"/>
          </w:tcPr>
          <w:p w14:paraId="01CBE3BE" w14:textId="77777777" w:rsidR="00553D8E" w:rsidRPr="00E04177" w:rsidRDefault="00553D8E" w:rsidP="0009733A">
            <w:pPr>
              <w:rPr>
                <w:szCs w:val="24"/>
              </w:rPr>
            </w:pPr>
          </w:p>
          <w:p w14:paraId="05ECB15D" w14:textId="77777777" w:rsidR="00553D8E" w:rsidRPr="00E04177" w:rsidRDefault="00553D8E" w:rsidP="0009733A">
            <w:pPr>
              <w:rPr>
                <w:szCs w:val="24"/>
              </w:rPr>
            </w:pPr>
          </w:p>
          <w:p w14:paraId="645CFF3F" w14:textId="5155A3C8" w:rsidR="00553D8E" w:rsidRPr="00E04177" w:rsidRDefault="00553D8E" w:rsidP="0009733A">
            <w:pPr>
              <w:jc w:val="center"/>
              <w:rPr>
                <w:szCs w:val="24"/>
              </w:rPr>
            </w:pPr>
            <w:r w:rsidRPr="00E04177">
              <w:rPr>
                <w:szCs w:val="24"/>
              </w:rPr>
              <w:t>0.0</w:t>
            </w:r>
            <w:r w:rsidR="00FF6342">
              <w:rPr>
                <w:szCs w:val="24"/>
              </w:rPr>
              <w:t>7</w:t>
            </w:r>
          </w:p>
          <w:p w14:paraId="5EB90923" w14:textId="5710A4BE" w:rsidR="00553D8E" w:rsidRPr="00E04177" w:rsidRDefault="00553D8E" w:rsidP="0009733A">
            <w:pPr>
              <w:jc w:val="center"/>
              <w:rPr>
                <w:szCs w:val="24"/>
              </w:rPr>
            </w:pPr>
            <w:r w:rsidRPr="00E04177">
              <w:rPr>
                <w:szCs w:val="24"/>
              </w:rPr>
              <w:t>0.0</w:t>
            </w:r>
            <w:r w:rsidR="00FF6342">
              <w:rPr>
                <w:szCs w:val="24"/>
              </w:rPr>
              <w:t>03</w:t>
            </w:r>
          </w:p>
          <w:p w14:paraId="7BA07EE5" w14:textId="6FF84FDA" w:rsidR="00553D8E" w:rsidRPr="00E04177" w:rsidRDefault="00FF6342" w:rsidP="0009733A">
            <w:pPr>
              <w:jc w:val="center"/>
              <w:rPr>
                <w:szCs w:val="24"/>
              </w:rPr>
            </w:pPr>
            <m:oMathPara>
              <m:oMath>
                <m:r>
                  <w:rPr>
                    <w:rFonts w:ascii="Cambria Math" w:hAnsi="Cambria Math"/>
                    <w:szCs w:val="24"/>
                  </w:rPr>
                  <m:t>2.85*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5A625EC7" w14:textId="7906F95D" w:rsidR="00FF6342" w:rsidRPr="00E04177" w:rsidRDefault="00FF6342" w:rsidP="00FF6342">
            <w:pPr>
              <w:jc w:val="center"/>
              <w:rPr>
                <w:szCs w:val="24"/>
              </w:rPr>
            </w:pPr>
            <m:oMathPara>
              <m:oMath>
                <m:r>
                  <w:rPr>
                    <w:rFonts w:ascii="Cambria Math" w:hAnsi="Cambria Math"/>
                    <w:szCs w:val="24"/>
                  </w:rPr>
                  <m:t>4.2*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573108B5" w14:textId="755F0C28" w:rsidR="00553D8E" w:rsidRPr="00E04177" w:rsidRDefault="00553D8E" w:rsidP="0009733A">
            <w:pPr>
              <w:jc w:val="center"/>
              <w:rPr>
                <w:szCs w:val="24"/>
              </w:rPr>
            </w:pPr>
          </w:p>
          <w:p w14:paraId="46F86737" w14:textId="62A92295" w:rsidR="00553D8E" w:rsidRPr="00E04177" w:rsidRDefault="00553D8E" w:rsidP="0009733A">
            <w:pPr>
              <w:jc w:val="center"/>
              <w:rPr>
                <w:szCs w:val="24"/>
              </w:rPr>
            </w:pPr>
          </w:p>
        </w:tc>
        <w:tc>
          <w:tcPr>
            <w:tcW w:w="2568" w:type="dxa"/>
          </w:tcPr>
          <w:p w14:paraId="429C85BE" w14:textId="77777777" w:rsidR="00553D8E" w:rsidRPr="00E04177" w:rsidRDefault="00553D8E" w:rsidP="0009733A">
            <w:pPr>
              <w:rPr>
                <w:szCs w:val="24"/>
              </w:rPr>
            </w:pPr>
          </w:p>
          <w:p w14:paraId="09C39EEC" w14:textId="77777777" w:rsidR="00553D8E" w:rsidRPr="00E04177" w:rsidRDefault="00553D8E" w:rsidP="0009733A">
            <w:pPr>
              <w:rPr>
                <w:szCs w:val="24"/>
              </w:rPr>
            </w:pPr>
          </w:p>
          <w:p w14:paraId="30B46F7E" w14:textId="30617320" w:rsidR="00553D8E" w:rsidRPr="00E04177" w:rsidRDefault="00553D8E" w:rsidP="0009733A">
            <w:pPr>
              <w:jc w:val="center"/>
              <w:rPr>
                <w:szCs w:val="24"/>
              </w:rPr>
            </w:pPr>
            <w:r w:rsidRPr="00E04177">
              <w:rPr>
                <w:szCs w:val="24"/>
              </w:rPr>
              <w:t>0.0</w:t>
            </w:r>
            <w:r w:rsidR="00FF6342">
              <w:rPr>
                <w:szCs w:val="24"/>
              </w:rPr>
              <w:t>7</w:t>
            </w:r>
          </w:p>
          <w:p w14:paraId="1526119D" w14:textId="7994A87C" w:rsidR="00553D8E" w:rsidRPr="00E04177" w:rsidRDefault="00553D8E" w:rsidP="0009733A">
            <w:pPr>
              <w:jc w:val="center"/>
              <w:rPr>
                <w:szCs w:val="24"/>
              </w:rPr>
            </w:pPr>
            <w:r w:rsidRPr="00E04177">
              <w:rPr>
                <w:szCs w:val="24"/>
              </w:rPr>
              <w:t>0.0</w:t>
            </w:r>
            <w:r w:rsidR="00FF6342">
              <w:rPr>
                <w:szCs w:val="24"/>
              </w:rPr>
              <w:t>03</w:t>
            </w:r>
          </w:p>
          <w:p w14:paraId="2C23CD49" w14:textId="77777777" w:rsidR="00FF6342" w:rsidRPr="00E04177" w:rsidRDefault="00FF6342" w:rsidP="00FF6342">
            <w:pPr>
              <w:jc w:val="center"/>
              <w:rPr>
                <w:szCs w:val="24"/>
              </w:rPr>
            </w:pPr>
            <m:oMathPara>
              <m:oMath>
                <m:r>
                  <w:rPr>
                    <w:rFonts w:ascii="Cambria Math" w:hAnsi="Cambria Math"/>
                    <w:szCs w:val="24"/>
                  </w:rPr>
                  <m:t>2.85*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2DD249F2" w14:textId="77777777" w:rsidR="00FF6342" w:rsidRPr="00E04177" w:rsidRDefault="00FF6342" w:rsidP="00FF6342">
            <w:pPr>
              <w:jc w:val="center"/>
              <w:rPr>
                <w:szCs w:val="24"/>
              </w:rPr>
            </w:pPr>
            <m:oMathPara>
              <m:oMath>
                <m:r>
                  <w:rPr>
                    <w:rFonts w:ascii="Cambria Math" w:hAnsi="Cambria Math"/>
                    <w:szCs w:val="24"/>
                  </w:rPr>
                  <m:t>4.2*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0925AFBB" w14:textId="00789AAB" w:rsidR="00553D8E" w:rsidRPr="00E04177" w:rsidRDefault="00553D8E" w:rsidP="00553D8E">
            <w:pPr>
              <w:jc w:val="center"/>
              <w:rPr>
                <w:szCs w:val="24"/>
              </w:rPr>
            </w:pPr>
          </w:p>
        </w:tc>
        <w:tc>
          <w:tcPr>
            <w:tcW w:w="2569" w:type="dxa"/>
          </w:tcPr>
          <w:p w14:paraId="19D4F630" w14:textId="77777777" w:rsidR="00553D8E" w:rsidRDefault="00553D8E" w:rsidP="001D4DF6">
            <w:pPr>
              <w:jc w:val="center"/>
              <w:rPr>
                <w:szCs w:val="24"/>
              </w:rPr>
            </w:pPr>
          </w:p>
          <w:p w14:paraId="7311A5C9" w14:textId="77777777" w:rsidR="001D4DF6" w:rsidRDefault="001D4DF6" w:rsidP="001D4DF6">
            <w:pPr>
              <w:jc w:val="center"/>
              <w:rPr>
                <w:szCs w:val="24"/>
              </w:rPr>
            </w:pPr>
          </w:p>
          <w:p w14:paraId="1F08FFC8" w14:textId="77777777" w:rsidR="001D4DF6" w:rsidRDefault="00FF6342" w:rsidP="001D4DF6">
            <w:pPr>
              <w:jc w:val="center"/>
              <w:rPr>
                <w:szCs w:val="24"/>
              </w:rPr>
            </w:pPr>
            <w:r>
              <w:rPr>
                <w:szCs w:val="24"/>
              </w:rPr>
              <w:t>0.009</w:t>
            </w:r>
          </w:p>
          <w:p w14:paraId="040D73A6" w14:textId="77777777" w:rsidR="00FF6342" w:rsidRDefault="00FF6342" w:rsidP="001D4DF6">
            <w:pPr>
              <w:jc w:val="center"/>
              <w:rPr>
                <w:szCs w:val="24"/>
              </w:rPr>
            </w:pPr>
            <w:r>
              <w:rPr>
                <w:szCs w:val="24"/>
              </w:rPr>
              <w:t>0.003</w:t>
            </w:r>
          </w:p>
          <w:p w14:paraId="131A6593" w14:textId="77777777" w:rsidR="00FF6342" w:rsidRPr="00E04177" w:rsidRDefault="00FF6342" w:rsidP="00FF6342">
            <w:pPr>
              <w:jc w:val="center"/>
              <w:rPr>
                <w:szCs w:val="24"/>
              </w:rPr>
            </w:pPr>
            <m:oMathPara>
              <m:oMath>
                <m:r>
                  <w:rPr>
                    <w:rFonts w:ascii="Cambria Math" w:hAnsi="Cambria Math"/>
                    <w:szCs w:val="24"/>
                  </w:rPr>
                  <m:t>2.85*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776B88C0" w14:textId="77777777" w:rsidR="00FF6342" w:rsidRPr="00E04177" w:rsidRDefault="00FF6342" w:rsidP="00FF6342">
            <w:pPr>
              <w:jc w:val="center"/>
              <w:rPr>
                <w:szCs w:val="24"/>
              </w:rPr>
            </w:pPr>
            <m:oMathPara>
              <m:oMath>
                <m:r>
                  <w:rPr>
                    <w:rFonts w:ascii="Cambria Math" w:hAnsi="Cambria Math"/>
                    <w:szCs w:val="24"/>
                  </w:rPr>
                  <m:t>4.2*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5B4DF643" w14:textId="74874275" w:rsidR="00FF6342" w:rsidRPr="00E04177" w:rsidRDefault="00FF6342" w:rsidP="001D4DF6">
            <w:pPr>
              <w:jc w:val="center"/>
              <w:rPr>
                <w:szCs w:val="24"/>
              </w:rPr>
            </w:pPr>
          </w:p>
        </w:tc>
      </w:tr>
    </w:tbl>
    <w:p w14:paraId="38470FDE" w14:textId="149DA957" w:rsidR="002473D4" w:rsidRPr="00632829" w:rsidRDefault="002473D4" w:rsidP="00632829">
      <w:pPr>
        <w:rPr>
          <w:b/>
          <w:bCs/>
        </w:rPr>
      </w:pPr>
      <w:r>
        <w:tab/>
      </w:r>
    </w:p>
    <w:p w14:paraId="4CA4D8A0" w14:textId="0A10F620" w:rsidR="002473D4" w:rsidRDefault="002473D4" w:rsidP="00FF6342">
      <w:r>
        <w:br w:type="page"/>
      </w:r>
    </w:p>
    <w:p w14:paraId="300DC963" w14:textId="77777777" w:rsidR="002473D4" w:rsidRPr="00651AE9" w:rsidRDefault="002473D4" w:rsidP="002473D4">
      <w:pPr>
        <w:spacing w:after="0" w:line="360" w:lineRule="auto"/>
        <w:rPr>
          <w:bCs/>
        </w:rPr>
      </w:pPr>
      <w:r w:rsidRPr="00651AE9">
        <w:rPr>
          <w:b/>
          <w:bCs/>
        </w:rPr>
        <w:lastRenderedPageBreak/>
        <w:t>Model implementation</w:t>
      </w:r>
    </w:p>
    <w:p w14:paraId="1BF3B2EF" w14:textId="77777777" w:rsidR="002473D4" w:rsidRPr="00030D9E" w:rsidRDefault="002473D4" w:rsidP="002473D4">
      <w:pPr>
        <w:spacing w:after="0" w:line="360" w:lineRule="auto"/>
        <w:rPr>
          <w:bCs/>
        </w:rPr>
      </w:pPr>
      <w:r w:rsidRPr="00030D9E">
        <w:rPr>
          <w:bCs/>
        </w:rPr>
        <w:t xml:space="preserve">Models of single neurons and of the network were developed </w:t>
      </w:r>
      <w:r w:rsidRPr="00030D9E">
        <w:rPr>
          <w:bCs/>
          <w:lang w:val="en-AU"/>
        </w:rPr>
        <w:t>using experimental cellular and microcircuit parameters from our Lab and the literature, including for network connectivity and synaptic strengths. The network model was run on the parallel</w:t>
      </w:r>
      <w:r w:rsidRPr="00030D9E">
        <w:rPr>
          <w:bCs/>
        </w:rPr>
        <w:t xml:space="preserve"> NEURON 7.4 simulator (</w:t>
      </w:r>
      <w:r w:rsidRPr="00030D9E">
        <w:rPr>
          <w:bCs/>
          <w:i/>
        </w:rPr>
        <w:t>53</w:t>
      </w:r>
      <w:r w:rsidRPr="00030D9E">
        <w:rPr>
          <w:bCs/>
        </w:rPr>
        <w:t>), with a fixed time step of 25 µs.</w:t>
      </w:r>
    </w:p>
    <w:p w14:paraId="6F2437BD" w14:textId="77777777" w:rsidR="002473D4" w:rsidRPr="00651AE9" w:rsidRDefault="002473D4" w:rsidP="002473D4">
      <w:pPr>
        <w:spacing w:after="0" w:line="360" w:lineRule="auto"/>
        <w:rPr>
          <w:bCs/>
          <w:i/>
        </w:rPr>
      </w:pPr>
      <w:r w:rsidRPr="00651AE9">
        <w:rPr>
          <w:bCs/>
          <w:i/>
        </w:rPr>
        <w:t xml:space="preserve">Mathematical equations for voltage-dependent ionic currents: </w:t>
      </w:r>
      <w:r w:rsidRPr="00651AE9">
        <w:rPr>
          <w:bCs/>
        </w:rPr>
        <w:t>The dynamics for each compartment (soma or dendrite) followed the Hodgkin-Huxley formulation as previously described (</w:t>
      </w:r>
      <w:r w:rsidRPr="00651AE9">
        <w:rPr>
          <w:bCs/>
          <w:i/>
        </w:rPr>
        <w:t>54</w:t>
      </w:r>
      <w:r w:rsidRPr="00651AE9">
        <w:rPr>
          <w:bCs/>
        </w:rPr>
        <w:t>) in eqn. 1,</w:t>
      </w:r>
      <w:r w:rsidRPr="00651AE9">
        <w:rPr>
          <w:bCs/>
        </w:rPr>
        <w:br/>
      </w:r>
    </w:p>
    <w:p w14:paraId="5B7B4159" w14:textId="77777777" w:rsidR="002473D4" w:rsidRDefault="00CB26EC" w:rsidP="002473D4">
      <w:pPr>
        <w:spacing w:after="0" w:line="360" w:lineRule="auto"/>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2473D4" w:rsidRPr="00651AE9">
        <w:rPr>
          <w:bCs/>
        </w:rPr>
        <w:tab/>
        <w:t>(1)</w:t>
      </w:r>
      <w:r w:rsidR="002473D4" w:rsidRPr="00651AE9">
        <w:rPr>
          <w:bCs/>
        </w:rPr>
        <w:br/>
      </w:r>
    </w:p>
    <w:p w14:paraId="2286DE8E" w14:textId="77777777" w:rsidR="002473D4" w:rsidRPr="009A524B" w:rsidRDefault="002473D4" w:rsidP="002473D4">
      <w:pPr>
        <w:pStyle w:val="TextCharChar"/>
        <w:tabs>
          <w:tab w:val="left" w:pos="360"/>
        </w:tabs>
        <w:spacing w:line="360" w:lineRule="auto"/>
        <w:ind w:firstLine="0"/>
        <w:jc w:val="left"/>
        <w:rPr>
          <w:rFonts w:asciiTheme="majorBidi" w:eastAsia="Times New Roman" w:hAnsiTheme="majorBidi"/>
          <w:sz w:val="24"/>
          <w:szCs w:val="24"/>
        </w:rPr>
      </w:pPr>
      <w:r w:rsidRPr="0066361A">
        <w:rPr>
          <w:rFonts w:asciiTheme="majorBidi" w:eastAsia="Times New Roman" w:hAnsiTheme="majorBidi"/>
          <w:sz w:val="24"/>
          <w:szCs w:val="24"/>
        </w:rPr>
        <w:t xml:space="preserve">where </w:t>
      </w:r>
      <m:oMath>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d</m:t>
            </m:r>
          </m:sub>
        </m:sSub>
      </m:oMath>
      <w:r w:rsidRPr="0066361A">
        <w:rPr>
          <w:rFonts w:asciiTheme="majorBidi" w:eastAsia="Times New Roman" w:hAnsiTheme="majorBidi"/>
          <w:sz w:val="24"/>
          <w:szCs w:val="24"/>
        </w:rPr>
        <w:t xml:space="preserve"> are the somatic/dendritic membrane potential (mV),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sz w:val="24"/>
          <w:szCs w:val="24"/>
        </w:rPr>
        <w:t xml:space="preserve"> and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are the intrinsic and synaptic currents in the soma, </w:t>
      </w:r>
      <m:oMath>
        <m:sSub>
          <m:sSubPr>
            <m:ctrlPr>
              <w:rPr>
                <w:rFonts w:ascii="Cambria Math" w:hAnsi="Cambria Math"/>
                <w:i/>
              </w:rPr>
            </m:ctrlPr>
          </m:sSubPr>
          <m:e>
            <m:r>
              <w:rPr>
                <w:rFonts w:ascii="Cambria Math" w:hAnsi="Cambria Math"/>
                <w:sz w:val="24"/>
                <w:szCs w:val="24"/>
              </w:rPr>
              <m:t>I</m:t>
            </m:r>
          </m:e>
          <m:sub>
            <m:r>
              <w:rPr>
                <w:rFonts w:ascii="Cambria Math" w:hAnsi="Cambria Math"/>
                <w:sz w:val="24"/>
                <w:szCs w:val="24"/>
              </w:rPr>
              <m:t>inj</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electrode current applied to the soma, </w:t>
      </w:r>
      <m:oMath>
        <m:sSub>
          <m:sSubPr>
            <m:ctrlPr>
              <w:rPr>
                <w:rFonts w:ascii="Cambria Math" w:hAnsi="Cambria Math"/>
                <w:i/>
              </w:rPr>
            </m:ctrlPr>
          </m:sSubPr>
          <m:e>
            <m:r>
              <w:rPr>
                <w:rFonts w:ascii="Cambria Math" w:hAnsi="Cambria Math"/>
                <w:sz w:val="24"/>
                <w:szCs w:val="24"/>
              </w:rPr>
              <m:t>C</m:t>
            </m:r>
          </m:e>
          <m:sub>
            <m:r>
              <w:rPr>
                <w:rFonts w:ascii="Cambria Math" w:hAnsi="Cambria Math"/>
                <w:sz w:val="24"/>
                <w:szCs w:val="24"/>
              </w:rPr>
              <m:t>m</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membrane capacitance,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L</m:t>
            </m:r>
          </m:sub>
        </m:sSub>
      </m:oMath>
      <w:r w:rsidRPr="0066361A">
        <w:rPr>
          <w:rFonts w:asciiTheme="majorBidi" w:eastAsia="Times New Roman" w:hAnsiTheme="majorBidi"/>
          <w:sz w:val="24"/>
          <w:szCs w:val="24"/>
        </w:rPr>
        <w:t xml:space="preserve"> is the conductance of </w:t>
      </w:r>
      <w:r>
        <w:rPr>
          <w:rFonts w:asciiTheme="majorBidi" w:eastAsia="Times New Roman" w:hAnsiTheme="majorBidi"/>
          <w:sz w:val="24"/>
          <w:szCs w:val="24"/>
        </w:rPr>
        <w:t xml:space="preserve">the </w:t>
      </w:r>
      <w:r w:rsidRPr="0066361A">
        <w:rPr>
          <w:rFonts w:asciiTheme="majorBidi" w:eastAsia="Times New Roman" w:hAnsiTheme="majorBidi"/>
          <w:sz w:val="24"/>
          <w:szCs w:val="24"/>
        </w:rPr>
        <w:t xml:space="preserve">leak channel, and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m:t>
            </m:r>
          </m:sub>
        </m:sSub>
      </m:oMath>
      <w:r w:rsidRPr="0066361A">
        <w:rPr>
          <w:rFonts w:asciiTheme="majorBidi" w:eastAsia="Times New Roman" w:hAnsiTheme="majorBidi"/>
          <w:sz w:val="24"/>
          <w:szCs w:val="24"/>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i/>
          <w:sz w:val="24"/>
          <w:szCs w:val="24"/>
        </w:rPr>
        <w:t>,</w:t>
      </w:r>
      <w:r w:rsidRPr="0066361A">
        <w:rPr>
          <w:rFonts w:asciiTheme="majorBidi" w:eastAsia="Times New Roman" w:hAnsiTheme="majorBidi"/>
          <w:sz w:val="24"/>
          <w:szCs w:val="24"/>
        </w:rPr>
        <w:t xml:space="preserve"> was modeled as</w:t>
      </w:r>
      <m:oMath>
        <m:r>
          <w:rPr>
            <w:rFonts w:ascii="Cambria Math" w:hAnsi="Cambria Math"/>
            <w:sz w:val="24"/>
            <w:szCs w:val="24"/>
          </w:rPr>
          <m:t xml:space="preserve"> </m:t>
        </m:r>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sSup>
          <m:sSupPr>
            <m:ctrlPr>
              <w:rPr>
                <w:rFonts w:ascii="Cambria Math" w:hAnsi="Cambria Math"/>
                <w:i/>
              </w:rPr>
            </m:ctrlPr>
          </m:sSupPr>
          <m:e>
            <m:r>
              <w:rPr>
                <w:rFonts w:ascii="Cambria Math" w:hAnsi="Cambria Math"/>
                <w:sz w:val="24"/>
                <w:szCs w:val="24"/>
              </w:rPr>
              <m:t>m</m:t>
            </m:r>
          </m:e>
          <m:sup>
            <m:r>
              <w:rPr>
                <w:rFonts w:ascii="Cambria Math" w:hAnsi="Cambria Math"/>
                <w:sz w:val="24"/>
                <w:szCs w:val="24"/>
              </w:rPr>
              <m:t>p</m:t>
            </m:r>
          </m:sup>
        </m:sSup>
        <m:sSup>
          <m:sSupPr>
            <m:ctrlPr>
              <w:rPr>
                <w:rFonts w:ascii="Cambria Math" w:hAnsi="Cambria Math"/>
                <w:i/>
              </w:rPr>
            </m:ctrlPr>
          </m:sSupPr>
          <m:e>
            <m:r>
              <w:rPr>
                <w:rFonts w:ascii="Cambria Math" w:hAnsi="Cambria Math"/>
                <w:sz w:val="24"/>
                <w:szCs w:val="24"/>
              </w:rPr>
              <m:t>h</m:t>
            </m:r>
          </m:e>
          <m:sup>
            <m:r>
              <w:rPr>
                <w:rFonts w:ascii="Cambria Math" w:hAnsi="Cambria Math"/>
                <w:sz w:val="24"/>
                <w:szCs w:val="24"/>
              </w:rPr>
              <m:t>q</m:t>
            </m:r>
          </m:sup>
        </m:s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r>
          <w:rPr>
            <w:rFonts w:ascii="Cambria Math" w:hAnsi="Cambria Math"/>
            <w:sz w:val="24"/>
            <w:szCs w:val="24"/>
          </w:rPr>
          <m:t>)</m:t>
        </m:r>
      </m:oMath>
      <w:r w:rsidRPr="0066361A">
        <w:rPr>
          <w:rFonts w:asciiTheme="majorBidi" w:eastAsia="Times New Roman" w:hAnsiTheme="majorBidi"/>
          <w:sz w:val="24"/>
          <w:szCs w:val="24"/>
        </w:rPr>
        <w:t xml:space="preserve">, where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oMath>
      <w:r w:rsidRPr="0066361A">
        <w:rPr>
          <w:rFonts w:asciiTheme="majorBidi" w:eastAsia="Times New Roman" w:hAnsiTheme="majorBidi"/>
          <w:sz w:val="24"/>
          <w:szCs w:val="24"/>
        </w:rPr>
        <w:t xml:space="preserve"> is its maximal conductance, </w:t>
      </w:r>
      <w:r w:rsidRPr="0066361A">
        <w:rPr>
          <w:rFonts w:asciiTheme="majorBidi" w:eastAsia="Times New Roman" w:hAnsiTheme="majorBidi"/>
          <w:i/>
          <w:sz w:val="24"/>
          <w:szCs w:val="24"/>
        </w:rPr>
        <w:t xml:space="preserve">m </w:t>
      </w:r>
      <w:r w:rsidRPr="0066361A">
        <w:rPr>
          <w:rFonts w:asciiTheme="majorBidi" w:eastAsia="Times New Roman" w:hAnsiTheme="majorBidi"/>
          <w:sz w:val="24"/>
          <w:szCs w:val="24"/>
        </w:rPr>
        <w:t xml:space="preserve">its activation variable (with exponent </w:t>
      </w:r>
      <w:r w:rsidRPr="0066361A">
        <w:rPr>
          <w:rFonts w:asciiTheme="majorBidi" w:eastAsia="Times New Roman" w:hAnsiTheme="majorBidi"/>
          <w:i/>
          <w:sz w:val="24"/>
          <w:szCs w:val="24"/>
        </w:rPr>
        <w:t>p</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its inactivation variable (with exponent </w:t>
      </w:r>
      <w:r w:rsidRPr="0066361A">
        <w:rPr>
          <w:rFonts w:asciiTheme="majorBidi" w:eastAsia="Times New Roman" w:hAnsiTheme="majorBidi"/>
          <w:i/>
          <w:sz w:val="24"/>
          <w:szCs w:val="24"/>
        </w:rPr>
        <w:t>q</w:t>
      </w:r>
      <w:r w:rsidRPr="0066361A">
        <w:rPr>
          <w:rFonts w:asciiTheme="majorBidi" w:eastAsia="Times New Roman" w:hAnsiTheme="majorBidi"/>
          <w:sz w:val="24"/>
          <w:szCs w:val="24"/>
        </w:rPr>
        <w:t xml:space="preserve">), and </w:t>
      </w:r>
      <m:oMath>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oMath>
      <w:r w:rsidRPr="0066361A">
        <w:rPr>
          <w:rFonts w:asciiTheme="majorBidi" w:eastAsia="Times New Roman" w:hAnsiTheme="majorBidi"/>
          <w:sz w:val="24"/>
          <w:szCs w:val="24"/>
        </w:rPr>
        <w:t xml:space="preserve"> its reversal potential (a similar equation is used for the synaptic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but without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and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The kinetic equation for each of the gating variables </w:t>
      </w:r>
      <w:r w:rsidRPr="0066361A">
        <w:rPr>
          <w:rFonts w:asciiTheme="majorBidi" w:eastAsia="Times New Roman" w:hAnsiTheme="majorBidi"/>
          <w:i/>
          <w:sz w:val="24"/>
          <w:szCs w:val="24"/>
        </w:rPr>
        <w:t>x</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or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takes the form</w:t>
      </w:r>
      <w:r>
        <w:rPr>
          <w:rFonts w:asciiTheme="majorBidi" w:eastAsia="Times New Roman" w:hAnsiTheme="majorBidi"/>
          <w:sz w:val="24"/>
          <w:szCs w:val="24"/>
        </w:rPr>
        <w:t xml:space="preserve"> </w:t>
      </w:r>
      <w:r w:rsidRPr="009A524B">
        <w:rPr>
          <w:bCs/>
          <w:sz w:val="24"/>
          <w:szCs w:val="24"/>
        </w:rPr>
        <w:t xml:space="preserve">but without </w:t>
      </w:r>
      <w:r w:rsidRPr="009A524B">
        <w:rPr>
          <w:bCs/>
          <w:i/>
          <w:sz w:val="24"/>
          <w:szCs w:val="24"/>
        </w:rPr>
        <w:t>m</w:t>
      </w:r>
      <w:r w:rsidRPr="009A524B">
        <w:rPr>
          <w:bCs/>
          <w:sz w:val="24"/>
          <w:szCs w:val="24"/>
        </w:rPr>
        <w:t xml:space="preserve"> and </w:t>
      </w:r>
      <w:r w:rsidRPr="009A524B">
        <w:rPr>
          <w:bCs/>
          <w:i/>
          <w:sz w:val="24"/>
          <w:szCs w:val="24"/>
        </w:rPr>
        <w:t>h</w:t>
      </w:r>
      <w:r w:rsidRPr="009A524B">
        <w:rPr>
          <w:bCs/>
          <w:sz w:val="24"/>
          <w:szCs w:val="24"/>
        </w:rPr>
        <w:t xml:space="preserve">). The kinetic equation for each of the gating variables </w:t>
      </w:r>
      <w:r w:rsidRPr="009A524B">
        <w:rPr>
          <w:bCs/>
          <w:i/>
          <w:sz w:val="24"/>
          <w:szCs w:val="24"/>
        </w:rPr>
        <w:t>x</w:t>
      </w:r>
      <w:r w:rsidRPr="009A524B">
        <w:rPr>
          <w:bCs/>
          <w:sz w:val="24"/>
          <w:szCs w:val="24"/>
        </w:rPr>
        <w:t xml:space="preserve"> (</w:t>
      </w:r>
      <w:r w:rsidRPr="009A524B">
        <w:rPr>
          <w:bCs/>
          <w:i/>
          <w:sz w:val="24"/>
          <w:szCs w:val="24"/>
        </w:rPr>
        <w:t>m</w:t>
      </w:r>
      <w:r w:rsidRPr="009A524B">
        <w:rPr>
          <w:bCs/>
          <w:sz w:val="24"/>
          <w:szCs w:val="24"/>
        </w:rPr>
        <w:t xml:space="preserve"> or </w:t>
      </w:r>
      <w:r w:rsidRPr="009A524B">
        <w:rPr>
          <w:bCs/>
          <w:i/>
          <w:sz w:val="24"/>
          <w:szCs w:val="24"/>
        </w:rPr>
        <w:t>h</w:t>
      </w:r>
      <w:r w:rsidRPr="009A524B">
        <w:rPr>
          <w:bCs/>
          <w:sz w:val="24"/>
          <w:szCs w:val="24"/>
        </w:rPr>
        <w:t>) takes the form</w:t>
      </w:r>
      <w:r w:rsidRPr="009A524B">
        <w:rPr>
          <w:bCs/>
          <w:sz w:val="24"/>
          <w:szCs w:val="24"/>
        </w:rPr>
        <w:br/>
      </w:r>
    </w:p>
    <w:p w14:paraId="2B14C4A7" w14:textId="77777777" w:rsidR="002473D4" w:rsidRPr="00651AE9" w:rsidRDefault="00CB26EC" w:rsidP="002473D4">
      <w:pPr>
        <w:spacing w:after="0" w:line="360" w:lineRule="auto"/>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2473D4" w:rsidRPr="00651AE9">
        <w:rPr>
          <w:bCs/>
        </w:rPr>
        <w:t xml:space="preserve"> </w:t>
      </w:r>
      <w:r w:rsidR="002473D4" w:rsidRPr="00651AE9">
        <w:rPr>
          <w:bCs/>
        </w:rPr>
        <w:tab/>
        <w:t>(2)</w:t>
      </w:r>
    </w:p>
    <w:p w14:paraId="56C9170E" w14:textId="77777777" w:rsidR="002473D4" w:rsidRPr="00037C15" w:rsidRDefault="002473D4" w:rsidP="002473D4">
      <w:pPr>
        <w:tabs>
          <w:tab w:val="left" w:pos="360"/>
        </w:tabs>
        <w:spacing w:after="0" w:line="360" w:lineRule="auto"/>
        <w:rPr>
          <w:rFonts w:asciiTheme="majorBidi" w:hAnsiTheme="majorBidi"/>
        </w:rPr>
      </w:pPr>
      <w:r w:rsidRPr="00651AE9">
        <w:rPr>
          <w:bCs/>
        </w:rPr>
        <w:br/>
      </w:r>
      <w:r w:rsidRPr="0066361A">
        <w:rPr>
          <w:rFonts w:asciiTheme="majorBidi" w:hAnsiTheme="majorBidi"/>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66361A">
        <w:rPr>
          <w:rFonts w:asciiTheme="majorBidi" w:hAnsiTheme="majorBidi"/>
        </w:rPr>
        <w:t xml:space="preserve"> is the steady state gating voltage- and/or Ca</w:t>
      </w:r>
      <w:r w:rsidRPr="0066361A">
        <w:rPr>
          <w:rFonts w:asciiTheme="majorBidi" w:hAnsiTheme="majorBidi"/>
          <w:vertAlign w:val="superscript"/>
        </w:rPr>
        <w:t>2+</w:t>
      </w:r>
      <w:r w:rsidRPr="0066361A">
        <w:rPr>
          <w:rFonts w:asciiTheme="majorBidi" w:hAnsiTheme="majorBidi"/>
        </w:rPr>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66361A">
        <w:rPr>
          <w:rFonts w:asciiTheme="majorBidi" w:hAnsiTheme="majorBidi"/>
        </w:rPr>
        <w:t>is the voltage</w:t>
      </w:r>
      <w:r w:rsidRPr="0066361A">
        <w:rPr>
          <w:rFonts w:asciiTheme="majorBidi" w:hAnsiTheme="majorBidi"/>
          <w:b/>
        </w:rPr>
        <w:t xml:space="preserve">- </w:t>
      </w:r>
      <w:r w:rsidRPr="0066361A">
        <w:rPr>
          <w:rFonts w:asciiTheme="majorBidi" w:hAnsiTheme="majorBidi"/>
        </w:rPr>
        <w:t>and/or Ca</w:t>
      </w:r>
      <w:r w:rsidRPr="0066361A">
        <w:rPr>
          <w:rFonts w:asciiTheme="majorBidi" w:hAnsiTheme="majorBidi"/>
          <w:vertAlign w:val="superscript"/>
        </w:rPr>
        <w:t>2+</w:t>
      </w:r>
      <w:r w:rsidRPr="0066361A">
        <w:rPr>
          <w:rFonts w:asciiTheme="majorBidi" w:hAnsiTheme="majorBidi"/>
          <w:b/>
        </w:rPr>
        <w:t>-</w:t>
      </w:r>
      <w:r w:rsidRPr="0066361A">
        <w:rPr>
          <w:rFonts w:asciiTheme="majorBidi" w:hAnsiTheme="majorBidi"/>
        </w:rPr>
        <w:t xml:space="preserve"> dependent time constant. The equation for the dendrite follows the same format with ‘</w:t>
      </w:r>
      <w:r w:rsidRPr="0066361A">
        <w:rPr>
          <w:rFonts w:asciiTheme="majorBidi" w:hAnsiTheme="majorBidi"/>
          <w:i/>
        </w:rPr>
        <w:t>s</w:t>
      </w:r>
      <w:r w:rsidRPr="0066361A">
        <w:rPr>
          <w:rFonts w:asciiTheme="majorBidi" w:hAnsiTheme="majorBidi"/>
        </w:rPr>
        <w:t>’ and ‘</w:t>
      </w:r>
      <w:r w:rsidRPr="0066361A">
        <w:rPr>
          <w:rFonts w:asciiTheme="majorBidi" w:hAnsiTheme="majorBidi"/>
          <w:i/>
        </w:rPr>
        <w:t>d</w:t>
      </w:r>
      <w:r w:rsidRPr="0066361A">
        <w:rPr>
          <w:rFonts w:asciiTheme="majorBidi" w:hAnsiTheme="majorBidi"/>
        </w:rPr>
        <w:t xml:space="preserve">’ switching positions in eqn. 1. </w:t>
      </w:r>
      <w:r w:rsidRPr="00651AE9">
        <w:rPr>
          <w:bCs/>
        </w:rPr>
        <w:br/>
      </w:r>
      <w:r w:rsidRPr="00651AE9">
        <w:rPr>
          <w:bCs/>
          <w:i/>
        </w:rPr>
        <w:t>Principal neuron (PN) models</w:t>
      </w:r>
      <w:r w:rsidRPr="00651AE9">
        <w:rPr>
          <w:bCs/>
        </w:rPr>
        <w:t>: PN had five compartments: soma (diameter 24.75 µm, length 25 µm), an apical dendrite (a-dend; diameter 3µm; length 270 µm), another dendrite (p-dend; diameter 5 µm; length 555µm) to match passive properties, an axon initial segment (AIS; diameter 0.5 µm; length 50 µm), and an axon (diameter 0.5 µm; length 100 µm). Values of specific membrane resistance, membrane capacity and cytoplasmic (axial) resistivity were, respectively, R</w:t>
      </w:r>
      <w:r w:rsidRPr="00651AE9">
        <w:rPr>
          <w:bCs/>
          <w:vertAlign w:val="subscript"/>
        </w:rPr>
        <w:t>m</w:t>
      </w:r>
      <w:r w:rsidRPr="00651AE9">
        <w:rPr>
          <w:bCs/>
        </w:rPr>
        <w:t xml:space="preserve"> = 40 ± 5 kΩ-cm</w:t>
      </w:r>
      <w:r w:rsidRPr="00651AE9">
        <w:rPr>
          <w:bCs/>
          <w:vertAlign w:val="superscript"/>
        </w:rPr>
        <w:t>2</w:t>
      </w:r>
      <w:r w:rsidRPr="00651AE9">
        <w:rPr>
          <w:bCs/>
        </w:rPr>
        <w:t>, C</w:t>
      </w:r>
      <w:r w:rsidRPr="00651AE9">
        <w:rPr>
          <w:bCs/>
          <w:vertAlign w:val="subscript"/>
        </w:rPr>
        <w:t xml:space="preserve">m </w:t>
      </w:r>
      <w:r w:rsidRPr="00651AE9">
        <w:rPr>
          <w:bCs/>
        </w:rPr>
        <w:t>= 1.5 µF/cm</w:t>
      </w:r>
      <w:r w:rsidRPr="00651AE9">
        <w:rPr>
          <w:bCs/>
          <w:vertAlign w:val="superscript"/>
        </w:rPr>
        <w:t>2</w:t>
      </w:r>
      <w:r w:rsidRPr="00651AE9">
        <w:rPr>
          <w:bCs/>
        </w:rPr>
        <w:t>, and R</w:t>
      </w:r>
      <w:r w:rsidRPr="00651AE9">
        <w:rPr>
          <w:bCs/>
          <w:vertAlign w:val="subscript"/>
        </w:rPr>
        <w:t>a</w:t>
      </w:r>
      <w:r w:rsidRPr="00651AE9">
        <w:rPr>
          <w:bCs/>
        </w:rPr>
        <w:t xml:space="preserve"> = 150 Ω-cm. Leakage reversal potential (</w:t>
      </w:r>
      <w:r w:rsidRPr="00651AE9">
        <w:rPr>
          <w:bCs/>
          <w:i/>
        </w:rPr>
        <w:t>E</w:t>
      </w:r>
      <w:r w:rsidRPr="00651AE9">
        <w:rPr>
          <w:bCs/>
          <w:vertAlign w:val="subscript"/>
        </w:rPr>
        <w:t>L</w:t>
      </w:r>
      <w:r w:rsidRPr="00651AE9">
        <w:rPr>
          <w:bCs/>
        </w:rPr>
        <w:t xml:space="preserve">) was set to -75 ± 4 mV. The resulting </w:t>
      </w:r>
      <w:proofErr w:type="spellStart"/>
      <w:r w:rsidRPr="00651AE9">
        <w:rPr>
          <w:bCs/>
        </w:rPr>
        <w:t>V</w:t>
      </w:r>
      <w:r w:rsidRPr="00651AE9">
        <w:rPr>
          <w:bCs/>
          <w:vertAlign w:val="subscript"/>
        </w:rPr>
        <w:t>rest</w:t>
      </w:r>
      <w:proofErr w:type="spellEnd"/>
      <w:r w:rsidRPr="00651AE9">
        <w:rPr>
          <w:bCs/>
        </w:rPr>
        <w:t xml:space="preserve"> was -66 ± 4 mV, input resistance (</w:t>
      </w:r>
      <w:r w:rsidRPr="00651AE9">
        <w:rPr>
          <w:bCs/>
          <w:i/>
        </w:rPr>
        <w:t>R</w:t>
      </w:r>
      <w:r w:rsidRPr="00651AE9">
        <w:rPr>
          <w:bCs/>
          <w:vertAlign w:val="subscript"/>
        </w:rPr>
        <w:t>IN</w:t>
      </w:r>
      <w:r w:rsidRPr="00651AE9">
        <w:rPr>
          <w:bCs/>
        </w:rPr>
        <w:t>) was 140 ± 20 MΩ, and time constant (</w:t>
      </w:r>
      <w:proofErr w:type="spellStart"/>
      <w:r w:rsidRPr="00651AE9">
        <w:rPr>
          <w:bCs/>
        </w:rPr>
        <w:t>τ</w:t>
      </w:r>
      <w:r w:rsidRPr="00651AE9">
        <w:rPr>
          <w:bCs/>
          <w:vertAlign w:val="subscript"/>
        </w:rPr>
        <w:t>m</w:t>
      </w:r>
      <w:proofErr w:type="spellEnd"/>
      <w:r w:rsidRPr="00651AE9">
        <w:rPr>
          <w:bCs/>
        </w:rPr>
        <w:t xml:space="preserve">) was ~30 </w:t>
      </w:r>
      <w:proofErr w:type="spellStart"/>
      <w:r w:rsidRPr="00651AE9">
        <w:rPr>
          <w:bCs/>
        </w:rPr>
        <w:t>ms</w:t>
      </w:r>
      <w:proofErr w:type="spellEnd"/>
      <w:r w:rsidRPr="00651AE9">
        <w:rPr>
          <w:bCs/>
        </w:rPr>
        <w:t>, all of which were within the ranges reported in previous physiological studies (</w:t>
      </w:r>
      <w:r w:rsidRPr="00651AE9">
        <w:rPr>
          <w:bCs/>
          <w:i/>
        </w:rPr>
        <w:t>55</w:t>
      </w:r>
      <w:r w:rsidRPr="00651AE9">
        <w:rPr>
          <w:bCs/>
        </w:rPr>
        <w:t>). Soma and dendrite compartments had the following currents: leak (</w:t>
      </w:r>
      <w:r w:rsidRPr="00651AE9">
        <w:rPr>
          <w:bCs/>
          <w:i/>
        </w:rPr>
        <w:t>I</w:t>
      </w:r>
      <w:r w:rsidRPr="00651AE9">
        <w:rPr>
          <w:bCs/>
          <w:vertAlign w:val="subscript"/>
        </w:rPr>
        <w:t>L</w:t>
      </w:r>
      <w:r w:rsidRPr="00651AE9">
        <w:rPr>
          <w:bCs/>
        </w:rPr>
        <w:t>), voltage-gated persistent muscarinic (</w:t>
      </w:r>
      <w:r w:rsidRPr="00651AE9">
        <w:rPr>
          <w:bCs/>
          <w:i/>
        </w:rPr>
        <w:t>I</w:t>
      </w:r>
      <w:r w:rsidRPr="00651AE9">
        <w:rPr>
          <w:bCs/>
          <w:vertAlign w:val="subscript"/>
        </w:rPr>
        <w:t>M</w:t>
      </w:r>
      <w:r w:rsidRPr="00651AE9">
        <w:rPr>
          <w:bCs/>
        </w:rPr>
        <w:t>), high-voltage activated Ca</w:t>
      </w:r>
      <w:r w:rsidRPr="00651AE9">
        <w:rPr>
          <w:bCs/>
          <w:vertAlign w:val="superscript"/>
        </w:rPr>
        <w:t>2+</w:t>
      </w:r>
      <w:r w:rsidRPr="00651AE9">
        <w:rPr>
          <w:bCs/>
        </w:rPr>
        <w:t xml:space="preserve"> (</w:t>
      </w:r>
      <w:proofErr w:type="spellStart"/>
      <w:r w:rsidRPr="00651AE9">
        <w:rPr>
          <w:bCs/>
          <w:i/>
        </w:rPr>
        <w:t>I</w:t>
      </w:r>
      <w:r w:rsidRPr="00651AE9">
        <w:rPr>
          <w:bCs/>
          <w:vertAlign w:val="subscript"/>
        </w:rPr>
        <w:t>Ca</w:t>
      </w:r>
      <w:proofErr w:type="spellEnd"/>
      <w:r w:rsidRPr="00651AE9">
        <w:rPr>
          <w:bCs/>
        </w:rPr>
        <w:t>), spike-generating sodium (</w:t>
      </w:r>
      <w:proofErr w:type="spellStart"/>
      <w:r w:rsidRPr="00651AE9">
        <w:rPr>
          <w:bCs/>
          <w:i/>
        </w:rPr>
        <w:t>I</w:t>
      </w:r>
      <w:r w:rsidRPr="00651AE9">
        <w:rPr>
          <w:bCs/>
          <w:vertAlign w:val="subscript"/>
        </w:rPr>
        <w:t>Na</w:t>
      </w:r>
      <w:proofErr w:type="spellEnd"/>
      <w:r w:rsidRPr="00651AE9">
        <w:rPr>
          <w:bCs/>
        </w:rPr>
        <w:t>), potassium delayed rectifier (</w:t>
      </w:r>
      <w:r w:rsidRPr="00651AE9">
        <w:rPr>
          <w:bCs/>
          <w:i/>
        </w:rPr>
        <w:t>I</w:t>
      </w:r>
      <w:r w:rsidRPr="00651AE9">
        <w:rPr>
          <w:bCs/>
          <w:vertAlign w:val="subscript"/>
        </w:rPr>
        <w:t>DR</w:t>
      </w:r>
      <w:r w:rsidRPr="00651AE9">
        <w:rPr>
          <w:bCs/>
        </w:rPr>
        <w:t>), A-type potassium (</w:t>
      </w:r>
      <w:r w:rsidRPr="00651AE9">
        <w:rPr>
          <w:bCs/>
          <w:i/>
        </w:rPr>
        <w:t>I</w:t>
      </w:r>
      <w:r w:rsidRPr="00651AE9">
        <w:rPr>
          <w:bCs/>
          <w:vertAlign w:val="subscript"/>
        </w:rPr>
        <w:t>A</w:t>
      </w:r>
      <w:r w:rsidRPr="00651AE9">
        <w:rPr>
          <w:bCs/>
        </w:rPr>
        <w:t>) (</w:t>
      </w:r>
      <w:r w:rsidRPr="00651AE9">
        <w:rPr>
          <w:bCs/>
          <w:i/>
        </w:rPr>
        <w:t>56, 57</w:t>
      </w:r>
      <w:r w:rsidRPr="00651AE9">
        <w:rPr>
          <w:bCs/>
        </w:rPr>
        <w:t>) and hyperpolarization-activated nonspecific cation (</w:t>
      </w:r>
      <w:proofErr w:type="spellStart"/>
      <w:r w:rsidRPr="00651AE9">
        <w:rPr>
          <w:bCs/>
          <w:i/>
        </w:rPr>
        <w:t>I</w:t>
      </w:r>
      <w:r w:rsidRPr="00651AE9">
        <w:rPr>
          <w:bCs/>
          <w:vertAlign w:val="subscript"/>
        </w:rPr>
        <w:t>h</w:t>
      </w:r>
      <w:proofErr w:type="spellEnd"/>
      <w:r w:rsidRPr="00651AE9">
        <w:rPr>
          <w:bCs/>
        </w:rPr>
        <w:t xml:space="preserve">) current. In addition, the soma had a slow apamin-insensitive, voltage-independent afterhyperpolarization </w:t>
      </w:r>
      <w:r w:rsidRPr="00651AE9">
        <w:rPr>
          <w:bCs/>
        </w:rPr>
        <w:lastRenderedPageBreak/>
        <w:t>current (</w:t>
      </w:r>
      <w:proofErr w:type="spellStart"/>
      <w:r w:rsidRPr="00651AE9">
        <w:rPr>
          <w:bCs/>
          <w:i/>
        </w:rPr>
        <w:t>I</w:t>
      </w:r>
      <w:r w:rsidRPr="00651AE9">
        <w:rPr>
          <w:bCs/>
          <w:vertAlign w:val="subscript"/>
        </w:rPr>
        <w:t>sAHP</w:t>
      </w:r>
      <w:proofErr w:type="spellEnd"/>
      <w:r w:rsidRPr="00651AE9">
        <w:rPr>
          <w:bCs/>
        </w:rPr>
        <w:t>) (</w:t>
      </w:r>
      <w:r w:rsidRPr="00651AE9">
        <w:rPr>
          <w:bCs/>
          <w:i/>
        </w:rPr>
        <w:t>57, 58</w:t>
      </w:r>
      <w:r w:rsidRPr="00651AE9">
        <w:rPr>
          <w:bCs/>
        </w:rPr>
        <w:t>). The axonal compartments had the following currents: leak (</w:t>
      </w:r>
      <w:r w:rsidRPr="00651AE9">
        <w:rPr>
          <w:bCs/>
          <w:i/>
          <w:iCs/>
        </w:rPr>
        <w:t>I</w:t>
      </w:r>
      <w:r w:rsidRPr="00651AE9">
        <w:rPr>
          <w:bCs/>
          <w:vertAlign w:val="subscript"/>
        </w:rPr>
        <w:t>L</w:t>
      </w:r>
      <w:r w:rsidRPr="00651AE9">
        <w:rPr>
          <w:bCs/>
          <w:i/>
          <w:iCs/>
        </w:rPr>
        <w:t xml:space="preserve">), </w:t>
      </w:r>
      <w:r w:rsidRPr="00651AE9">
        <w:rPr>
          <w:bCs/>
        </w:rPr>
        <w:t>high-threshold sodium</w:t>
      </w:r>
      <w:r w:rsidRPr="00651AE9">
        <w:rPr>
          <w:bCs/>
          <w:i/>
          <w:iCs/>
        </w:rPr>
        <w:t xml:space="preserve"> (I</w:t>
      </w:r>
      <w:r w:rsidRPr="00651AE9">
        <w:rPr>
          <w:bCs/>
          <w:vertAlign w:val="subscript"/>
        </w:rPr>
        <w:t>Na1.2</w:t>
      </w:r>
      <w:r w:rsidRPr="00651AE9">
        <w:rPr>
          <w:bCs/>
          <w:i/>
          <w:iCs/>
        </w:rPr>
        <w:t xml:space="preserve">), </w:t>
      </w:r>
      <w:r w:rsidRPr="00651AE9">
        <w:rPr>
          <w:bCs/>
        </w:rPr>
        <w:t>low-threshold sodium</w:t>
      </w:r>
      <w:r w:rsidRPr="00651AE9">
        <w:rPr>
          <w:bCs/>
          <w:i/>
          <w:iCs/>
        </w:rPr>
        <w:t xml:space="preserve"> (I</w:t>
      </w:r>
      <w:r w:rsidRPr="00651AE9">
        <w:rPr>
          <w:bCs/>
          <w:vertAlign w:val="subscript"/>
        </w:rPr>
        <w:t>Na1.6</w:t>
      </w:r>
      <w:r w:rsidRPr="00651AE9">
        <w:rPr>
          <w:bCs/>
          <w:i/>
          <w:iCs/>
        </w:rPr>
        <w:t>)</w:t>
      </w:r>
      <w:r w:rsidRPr="00651AE9">
        <w:rPr>
          <w:bCs/>
        </w:rPr>
        <w:t>, and potassium delayed rectifier (</w:t>
      </w:r>
      <w:r w:rsidRPr="00651AE9">
        <w:rPr>
          <w:bCs/>
          <w:i/>
        </w:rPr>
        <w:t>I</w:t>
      </w:r>
      <w:r w:rsidRPr="00651AE9">
        <w:rPr>
          <w:bCs/>
          <w:vertAlign w:val="subscript"/>
        </w:rPr>
        <w:t>DR</w:t>
      </w:r>
      <w:r w:rsidRPr="00651AE9">
        <w:rPr>
          <w:bCs/>
        </w:rPr>
        <w:t xml:space="preserve">) </w:t>
      </w:r>
      <w:bookmarkStart w:id="0" w:name="_Hlk38528160"/>
      <w:r w:rsidRPr="00651AE9">
        <w:rPr>
          <w:bCs/>
        </w:rPr>
        <w:t>(</w:t>
      </w:r>
      <w:r w:rsidRPr="00651AE9">
        <w:rPr>
          <w:bCs/>
          <w:i/>
        </w:rPr>
        <w:t>59</w:t>
      </w:r>
      <w:r w:rsidRPr="00651AE9">
        <w:rPr>
          <w:bCs/>
        </w:rPr>
        <w:t>)</w:t>
      </w:r>
      <w:bookmarkEnd w:id="0"/>
      <w:r w:rsidRPr="00651AE9">
        <w:rPr>
          <w:bCs/>
        </w:rPr>
        <w:t>. See Tables S1 and S2 for equations of current kinetics and maximal densities. Based on firing patterns observed in slices, PNs in the model had Type-A (adapting) and Type C (continuous) generated by adjusting magnitude of Ca</w:t>
      </w:r>
      <w:r w:rsidRPr="00651AE9">
        <w:rPr>
          <w:bCs/>
          <w:vertAlign w:val="superscript"/>
        </w:rPr>
        <w:t>2+</w:t>
      </w:r>
      <w:r w:rsidRPr="00651AE9">
        <w:rPr>
          <w:bCs/>
        </w:rPr>
        <w:t>-dependent K</w:t>
      </w:r>
      <w:r w:rsidRPr="00651AE9">
        <w:rPr>
          <w:bCs/>
          <w:vertAlign w:val="superscript"/>
        </w:rPr>
        <w:t>+</w:t>
      </w:r>
      <w:r w:rsidRPr="00651AE9">
        <w:rPr>
          <w:bCs/>
        </w:rPr>
        <w:t xml:space="preserve"> current, either 50 or 0.2 mS/cm</w:t>
      </w:r>
      <w:r w:rsidRPr="00651AE9">
        <w:rPr>
          <w:bCs/>
          <w:vertAlign w:val="superscript"/>
        </w:rPr>
        <w:t>2</w:t>
      </w:r>
      <w:r w:rsidRPr="00651AE9">
        <w:rPr>
          <w:bCs/>
        </w:rPr>
        <w:t>, respectively (</w:t>
      </w:r>
      <w:r w:rsidRPr="00651AE9">
        <w:rPr>
          <w:bCs/>
          <w:i/>
        </w:rPr>
        <w:t>54</w:t>
      </w:r>
      <w:r w:rsidRPr="00651AE9">
        <w:rPr>
          <w:bCs/>
        </w:rPr>
        <w:t>). PN models contained properties for low- and high- threshold oscillation to mimic physiological parameters as closely as possible</w:t>
      </w:r>
      <w:r w:rsidRPr="00651AE9">
        <w:t xml:space="preserve"> </w:t>
      </w:r>
      <w:r w:rsidRPr="00651AE9">
        <w:rPr>
          <w:bCs/>
        </w:rPr>
        <w:t>(</w:t>
      </w:r>
      <w:r w:rsidRPr="00651AE9">
        <w:rPr>
          <w:bCs/>
          <w:i/>
        </w:rPr>
        <w:t>54, 56, 60, 61</w:t>
      </w:r>
      <w:r w:rsidRPr="00651AE9">
        <w:rPr>
          <w:bCs/>
        </w:rPr>
        <w:t>)</w:t>
      </w:r>
      <w:bookmarkStart w:id="1" w:name="_Hlk38528182"/>
      <w:bookmarkEnd w:id="1"/>
      <w:r w:rsidRPr="00651AE9">
        <w:rPr>
          <w:bCs/>
        </w:rPr>
        <w:t xml:space="preserve">. </w:t>
      </w:r>
      <w:r w:rsidRPr="00651AE9">
        <w:rPr>
          <w:bCs/>
        </w:rPr>
        <w:br/>
      </w:r>
      <w:r w:rsidRPr="00651AE9">
        <w:rPr>
          <w:bCs/>
          <w:i/>
        </w:rPr>
        <w:t>I</w:t>
      </w:r>
      <w:r>
        <w:rPr>
          <w:bCs/>
          <w:i/>
        </w:rPr>
        <w:t>nterneuron (I</w:t>
      </w:r>
      <w:r w:rsidRPr="00651AE9">
        <w:rPr>
          <w:bCs/>
          <w:i/>
        </w:rPr>
        <w:t>N</w:t>
      </w:r>
      <w:r>
        <w:rPr>
          <w:bCs/>
          <w:i/>
        </w:rPr>
        <w:t>)</w:t>
      </w:r>
      <w:r w:rsidRPr="00651AE9">
        <w:rPr>
          <w:bCs/>
          <w:i/>
        </w:rPr>
        <w:t xml:space="preserve"> </w:t>
      </w:r>
      <w:r w:rsidRPr="00651AE9">
        <w:rPr>
          <w:bCs/>
          <w:i/>
          <w:iCs/>
        </w:rPr>
        <w:t>model</w:t>
      </w:r>
      <w:r>
        <w:rPr>
          <w:bCs/>
          <w:i/>
          <w:iCs/>
        </w:rPr>
        <w:t>s</w:t>
      </w:r>
      <w:r w:rsidRPr="00651AE9">
        <w:rPr>
          <w:bCs/>
          <w:i/>
          <w:iCs/>
        </w:rPr>
        <w:t xml:space="preserve">: </w:t>
      </w:r>
      <w:r w:rsidRPr="00651AE9">
        <w:rPr>
          <w:bCs/>
        </w:rPr>
        <w:t xml:space="preserve">Since most </w:t>
      </w:r>
      <w:proofErr w:type="gramStart"/>
      <w:r w:rsidRPr="00651AE9">
        <w:rPr>
          <w:bCs/>
        </w:rPr>
        <w:t>INs</w:t>
      </w:r>
      <w:proofErr w:type="gramEnd"/>
      <w:r w:rsidRPr="00651AE9">
        <w:rPr>
          <w:bCs/>
        </w:rPr>
        <w:t xml:space="preserve"> sampled in experiments showed fast-spiking Int (FSI) characteristics they were modelled as FSI. The IN model contained five compartments; a soma (diameter 10 µm; length 20 µm) and four dendrites (diameter 3 µm; length 100 µm). Each compartment contained a fast Na</w:t>
      </w:r>
      <w:r w:rsidRPr="00651AE9">
        <w:rPr>
          <w:bCs/>
          <w:vertAlign w:val="superscript"/>
        </w:rPr>
        <w:t>+</w:t>
      </w:r>
      <w:r w:rsidRPr="00651AE9">
        <w:rPr>
          <w:bCs/>
        </w:rPr>
        <w:t xml:space="preserve"> (</w:t>
      </w:r>
      <w:proofErr w:type="spellStart"/>
      <w:r w:rsidRPr="00651AE9">
        <w:rPr>
          <w:bCs/>
          <w:i/>
        </w:rPr>
        <w:t>I</w:t>
      </w:r>
      <w:r w:rsidRPr="00651AE9">
        <w:rPr>
          <w:bCs/>
          <w:vertAlign w:val="subscript"/>
        </w:rPr>
        <w:t>Na</w:t>
      </w:r>
      <w:proofErr w:type="spellEnd"/>
      <w:r w:rsidRPr="00651AE9">
        <w:rPr>
          <w:bCs/>
        </w:rPr>
        <w:t>) and a delayed rectifier K</w:t>
      </w:r>
      <w:r w:rsidRPr="00651AE9">
        <w:rPr>
          <w:bCs/>
          <w:vertAlign w:val="superscript"/>
        </w:rPr>
        <w:t>+</w:t>
      </w:r>
      <w:r w:rsidRPr="00651AE9">
        <w:rPr>
          <w:bCs/>
        </w:rPr>
        <w:t xml:space="preserve"> (</w:t>
      </w:r>
      <w:r w:rsidRPr="00651AE9">
        <w:rPr>
          <w:bCs/>
          <w:i/>
        </w:rPr>
        <w:t>I</w:t>
      </w:r>
      <w:r w:rsidRPr="00651AE9">
        <w:rPr>
          <w:bCs/>
          <w:vertAlign w:val="subscript"/>
        </w:rPr>
        <w:t>DR</w:t>
      </w:r>
      <w:r w:rsidRPr="00651AE9">
        <w:rPr>
          <w:bCs/>
        </w:rPr>
        <w:t xml:space="preserve">) current. Network contains two types of </w:t>
      </w:r>
      <w:proofErr w:type="gramStart"/>
      <w:r>
        <w:rPr>
          <w:bCs/>
        </w:rPr>
        <w:t>IN</w:t>
      </w:r>
      <w:r w:rsidRPr="00651AE9">
        <w:rPr>
          <w:bCs/>
        </w:rPr>
        <w:t>s</w:t>
      </w:r>
      <w:proofErr w:type="gramEnd"/>
      <w:r w:rsidRPr="00651AE9">
        <w:rPr>
          <w:bCs/>
        </w:rPr>
        <w:t xml:space="preserve">: (a) Basket </w:t>
      </w:r>
      <w:r>
        <w:rPr>
          <w:bCs/>
        </w:rPr>
        <w:t>INs</w:t>
      </w:r>
      <w:r w:rsidRPr="00651AE9">
        <w:rPr>
          <w:bCs/>
        </w:rPr>
        <w:t xml:space="preserve"> that target PN at the soma, and (b) </w:t>
      </w:r>
      <w:r>
        <w:rPr>
          <w:bCs/>
        </w:rPr>
        <w:t>Chandelier IN (</w:t>
      </w:r>
      <w:proofErr w:type="spellStart"/>
      <w:r>
        <w:rPr>
          <w:bCs/>
        </w:rPr>
        <w:t>Chn</w:t>
      </w:r>
      <w:proofErr w:type="spellEnd"/>
      <w:r>
        <w:rPr>
          <w:bCs/>
        </w:rPr>
        <w:t>)</w:t>
      </w:r>
      <w:r w:rsidRPr="00651AE9">
        <w:rPr>
          <w:bCs/>
        </w:rPr>
        <w:t xml:space="preserve"> that target PN at the AIS. Both models reproduced APs with short half-width (&lt;1 ms). Passive membrane properties of Basket </w:t>
      </w:r>
      <w:proofErr w:type="gramStart"/>
      <w:r w:rsidRPr="00651AE9">
        <w:rPr>
          <w:bCs/>
        </w:rPr>
        <w:t>I</w:t>
      </w:r>
      <w:r>
        <w:rPr>
          <w:bCs/>
        </w:rPr>
        <w:t>N</w:t>
      </w:r>
      <w:r w:rsidRPr="00651AE9">
        <w:rPr>
          <w:bCs/>
        </w:rPr>
        <w:t>s</w:t>
      </w:r>
      <w:proofErr w:type="gramEnd"/>
      <w:r w:rsidRPr="00651AE9">
        <w:rPr>
          <w:bCs/>
        </w:rPr>
        <w:t xml:space="preserve"> and </w:t>
      </w:r>
      <w:proofErr w:type="spellStart"/>
      <w:r>
        <w:rPr>
          <w:bCs/>
        </w:rPr>
        <w:t>Chns</w:t>
      </w:r>
      <w:proofErr w:type="spellEnd"/>
      <w:r w:rsidRPr="00651AE9">
        <w:rPr>
          <w:bCs/>
        </w:rPr>
        <w:t xml:space="preserve"> were Rm = 10 ± 1 and 15 ± 1 kΩ-cm</w:t>
      </w:r>
      <w:r w:rsidRPr="00651AE9">
        <w:rPr>
          <w:bCs/>
          <w:vertAlign w:val="superscript"/>
        </w:rPr>
        <w:t>2</w:t>
      </w:r>
      <w:r w:rsidRPr="00651AE9">
        <w:rPr>
          <w:bCs/>
        </w:rPr>
        <w:t>, C</w:t>
      </w:r>
      <w:r w:rsidRPr="00651AE9">
        <w:rPr>
          <w:bCs/>
          <w:vertAlign w:val="subscript"/>
        </w:rPr>
        <w:t xml:space="preserve">m </w:t>
      </w:r>
      <w:r w:rsidRPr="00651AE9">
        <w:rPr>
          <w:bCs/>
        </w:rPr>
        <w:t>= 1.4 and 0.8 µF/cm</w:t>
      </w:r>
      <w:r w:rsidRPr="00651AE9">
        <w:rPr>
          <w:bCs/>
          <w:vertAlign w:val="superscript"/>
        </w:rPr>
        <w:t>2</w:t>
      </w:r>
      <w:r w:rsidRPr="00651AE9">
        <w:rPr>
          <w:bCs/>
        </w:rPr>
        <w:t>, R</w:t>
      </w:r>
      <w:r w:rsidRPr="00651AE9">
        <w:rPr>
          <w:bCs/>
          <w:vertAlign w:val="subscript"/>
        </w:rPr>
        <w:t>a</w:t>
      </w:r>
      <w:r w:rsidRPr="00651AE9">
        <w:rPr>
          <w:bCs/>
        </w:rPr>
        <w:t xml:space="preserve"> = 100 and 100 Ω-cm, respectively.  </w:t>
      </w:r>
      <w:r w:rsidRPr="00651AE9">
        <w:rPr>
          <w:bCs/>
        </w:rPr>
        <w:br/>
      </w:r>
      <w:r w:rsidRPr="00651AE9">
        <w:rPr>
          <w:bCs/>
          <w:i/>
        </w:rPr>
        <w:t>Network size and cell type proportions:</w:t>
      </w:r>
      <w:r w:rsidRPr="00651AE9">
        <w:rPr>
          <w:bCs/>
        </w:rPr>
        <w:t xml:space="preserve"> To model a 400 µm (1.4 x 1.4 x 0.4 mm) </w:t>
      </w:r>
      <w:r>
        <w:rPr>
          <w:bCs/>
        </w:rPr>
        <w:t xml:space="preserve">basal </w:t>
      </w:r>
      <w:proofErr w:type="spellStart"/>
      <w:r>
        <w:rPr>
          <w:bCs/>
        </w:rPr>
        <w:t>amygala</w:t>
      </w:r>
      <w:proofErr w:type="spellEnd"/>
      <w:r w:rsidRPr="00651AE9">
        <w:rPr>
          <w:bCs/>
        </w:rPr>
        <w:t xml:space="preserve"> slice, we generated 20,572 neurons with cellular composition of 40% PN</w:t>
      </w:r>
      <w:r w:rsidRPr="00651AE9">
        <w:rPr>
          <w:bCs/>
          <w:vertAlign w:val="subscript"/>
        </w:rPr>
        <w:t>A</w:t>
      </w:r>
      <w:r w:rsidRPr="00651AE9">
        <w:rPr>
          <w:bCs/>
        </w:rPr>
        <w:t xml:space="preserve"> (n=8,229), 40% PN</w:t>
      </w:r>
      <w:r w:rsidRPr="00651AE9">
        <w:rPr>
          <w:bCs/>
          <w:vertAlign w:val="subscript"/>
        </w:rPr>
        <w:t>C</w:t>
      </w:r>
      <w:r w:rsidRPr="00651AE9">
        <w:rPr>
          <w:bCs/>
        </w:rPr>
        <w:t xml:space="preserve"> (n=8,229), 18% Basket I</w:t>
      </w:r>
      <w:r>
        <w:rPr>
          <w:bCs/>
        </w:rPr>
        <w:t>Ns</w:t>
      </w:r>
      <w:r w:rsidRPr="00651AE9">
        <w:rPr>
          <w:bCs/>
        </w:rPr>
        <w:t xml:space="preserve"> (n=3,708), and 2% </w:t>
      </w:r>
      <w:r>
        <w:rPr>
          <w:bCs/>
        </w:rPr>
        <w:t>Chandelier INs</w:t>
      </w:r>
      <w:r w:rsidRPr="00651AE9">
        <w:rPr>
          <w:bCs/>
        </w:rPr>
        <w:t xml:space="preserve"> (n=406). </w:t>
      </w:r>
    </w:p>
    <w:p w14:paraId="7B864C7F" w14:textId="77777777" w:rsidR="002473D4" w:rsidRPr="00651AE9" w:rsidRDefault="002473D4" w:rsidP="002473D4">
      <w:pPr>
        <w:spacing w:after="0" w:line="360" w:lineRule="auto"/>
        <w:rPr>
          <w:bCs/>
        </w:rPr>
      </w:pPr>
      <w:r w:rsidRPr="00651AE9">
        <w:rPr>
          <w:bCs/>
          <w:i/>
        </w:rPr>
        <w:t xml:space="preserve">Mathematical equations for synaptic currents: </w:t>
      </w:r>
      <w:r w:rsidRPr="00651AE9">
        <w:rPr>
          <w:bCs/>
        </w:rPr>
        <w:t>All excitatory transmission was mediated by AMPA/NMDA receptors, and inhibitory transmission by GABA</w:t>
      </w:r>
      <w:r w:rsidRPr="00651AE9">
        <w:rPr>
          <w:bCs/>
          <w:vertAlign w:val="subscript"/>
        </w:rPr>
        <w:t>A</w:t>
      </w:r>
      <w:r w:rsidRPr="00651AE9">
        <w:rPr>
          <w:bCs/>
        </w:rPr>
        <w:t xml:space="preserve"> receptors. The corresponding synaptic currents were modelled by dual exponential functions (</w:t>
      </w:r>
      <w:r w:rsidRPr="00651AE9">
        <w:rPr>
          <w:bCs/>
          <w:i/>
        </w:rPr>
        <w:t>62, 63</w:t>
      </w:r>
      <w:r w:rsidRPr="00651AE9">
        <w:rPr>
          <w:bCs/>
        </w:rPr>
        <w:t>), as shown in eqns. 3-5,</w:t>
      </w:r>
    </w:p>
    <w:p w14:paraId="6A31B139" w14:textId="77777777" w:rsidR="002473D4" w:rsidRPr="00651AE9" w:rsidRDefault="002473D4" w:rsidP="002473D4">
      <w:pPr>
        <w:spacing w:after="0"/>
        <w:rPr>
          <w:bCs/>
        </w:rPr>
      </w:pPr>
    </w:p>
    <w:p w14:paraId="0F68D91D" w14:textId="77777777" w:rsidR="002473D4" w:rsidRPr="00651AE9" w:rsidRDefault="00CB26EC"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AMPA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d>
            <m:dPr>
              <m:ctrlPr>
                <w:rPr>
                  <w:rFonts w:ascii="Cambria Math" w:eastAsiaTheme="minorEastAsia" w:hAnsi="Cambria Math"/>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AMPA</m:t>
                  </m:r>
                </m:sub>
              </m:sSub>
              <m:ctrlPr>
                <w:rPr>
                  <w:rFonts w:ascii="Cambria Math" w:eastAsiaTheme="minorEastAsia" w:hAnsi="Cambria Math"/>
                  <w:i/>
                </w:rPr>
              </m:ctrlPr>
            </m:e>
          </m:d>
        </m:oMath>
      </m:oMathPara>
    </w:p>
    <w:p w14:paraId="445DD53F" w14:textId="77777777" w:rsidR="002473D4" w:rsidRPr="00651AE9" w:rsidRDefault="00CB26EC"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AMPA,max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w:br/>
          </m:r>
        </m:oMath>
      </m:oMathPara>
      <w:r w:rsidR="002473D4" w:rsidRPr="00651AE9">
        <w:rPr>
          <w:bCs/>
        </w:rPr>
        <w:t xml:space="preserve">              </w:t>
      </w:r>
      <m:oMath>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AMPA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oMath>
      <w:r w:rsidR="002473D4" w:rsidRPr="00651AE9">
        <w:rPr>
          <w:bCs/>
        </w:rPr>
        <w:tab/>
        <w:t>(3)</w:t>
      </w:r>
    </w:p>
    <w:p w14:paraId="5ECAB610" w14:textId="77777777" w:rsidR="002473D4" w:rsidRPr="00651AE9" w:rsidRDefault="002473D4" w:rsidP="002473D4">
      <w:pPr>
        <w:spacing w:after="0"/>
        <w:ind w:firstLine="720"/>
        <w:jc w:val="center"/>
        <w:rPr>
          <w:bCs/>
        </w:rPr>
      </w:pPr>
    </w:p>
    <w:p w14:paraId="21B77E66" w14:textId="77777777" w:rsidR="002473D4" w:rsidRPr="00651AE9" w:rsidRDefault="00CB26EC" w:rsidP="002473D4">
      <w:pPr>
        <w:spacing w:after="0"/>
        <w:ind w:left="720" w:firstLine="720"/>
        <w:jc w:val="center"/>
        <w:rPr>
          <w:bCs/>
        </w:rPr>
      </w:pPr>
      <m:oMathPara>
        <m:oMathParaPr>
          <m:jc m:val="left"/>
        </m:oMathParaPr>
        <m:oMath>
          <m:sSub>
            <m:sSubPr>
              <m:ctrlPr>
                <w:rPr>
                  <w:rFonts w:ascii="Cambria Math" w:eastAsiaTheme="minorEastAsia" w:hAnsi="Cambria Math"/>
                  <w:i/>
                </w:rPr>
              </m:ctrlPr>
            </m:sSubPr>
            <m:e>
              <m:r>
                <w:rPr>
                  <w:rFonts w:ascii="Cambria Math" w:hAnsi="Cambria Math"/>
                </w:rPr>
                <m:t>I</m:t>
              </m:r>
            </m:e>
            <m:sub>
              <m:r>
                <w:rPr>
                  <w:rFonts w:ascii="Cambria Math" w:hAnsi="Cambria Math"/>
                </w:rPr>
                <m:t>NMDA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NMDA</m:t>
              </m:r>
            </m:sub>
          </m:sSub>
          <m:r>
            <w:rPr>
              <w:rFonts w:ascii="Cambria Math" w:hAnsi="Cambria Math"/>
            </w:rPr>
            <m:t>)</m:t>
          </m:r>
        </m:oMath>
      </m:oMathPara>
    </w:p>
    <w:p w14:paraId="1778C8D4" w14:textId="77777777" w:rsidR="002473D4" w:rsidRPr="00651AE9" w:rsidRDefault="00CB26EC" w:rsidP="002473D4">
      <w:pPr>
        <w:spacing w:after="0"/>
        <w:ind w:left="72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NMDA,max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NMDA</m:t>
              </m:r>
            </m:sub>
          </m:sSub>
          <m:r>
            <w:rPr>
              <w:rFonts w:ascii="Cambria Math" w:hAnsi="Cambria Math"/>
            </w:rPr>
            <m:t>×s</m:t>
          </m:r>
          <m:d>
            <m:dPr>
              <m:ctrlPr>
                <w:rPr>
                  <w:rFonts w:ascii="Cambria Math" w:eastAsiaTheme="minorEastAsia" w:hAnsi="Cambria Math"/>
                  <w:i/>
                </w:rPr>
              </m:ctrlPr>
            </m:dPr>
            <m:e>
              <m:r>
                <w:rPr>
                  <w:rFonts w:ascii="Cambria Math" w:hAnsi="Cambria Math"/>
                </w:rPr>
                <m:t>V</m:t>
              </m:r>
            </m:e>
          </m:d>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w:br/>
          </m:r>
        </m:oMath>
      </m:oMathPara>
      <m:oMath>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NMDA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oMath>
      <w:r w:rsidR="002473D4" w:rsidRPr="00651AE9">
        <w:rPr>
          <w:bCs/>
        </w:rPr>
        <w:tab/>
        <w:t>(4)</w:t>
      </w:r>
    </w:p>
    <w:p w14:paraId="0FBD2238" w14:textId="77777777" w:rsidR="002473D4" w:rsidRPr="00651AE9" w:rsidRDefault="002473D4" w:rsidP="002473D4">
      <w:pPr>
        <w:spacing w:after="0"/>
        <w:ind w:firstLine="720"/>
        <w:jc w:val="center"/>
        <w:rPr>
          <w:bCs/>
        </w:rPr>
      </w:pPr>
    </w:p>
    <w:p w14:paraId="65D67078" w14:textId="77777777" w:rsidR="002473D4" w:rsidRPr="00651AE9" w:rsidRDefault="00CB26EC" w:rsidP="002473D4">
      <w:pPr>
        <w:spacing w:after="0"/>
        <w:ind w:left="720" w:firstLine="72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GABAa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GABAa</m:t>
                  </m:r>
                </m:sub>
              </m:sSub>
            </m:e>
          </m:d>
        </m:oMath>
      </m:oMathPara>
    </w:p>
    <w:p w14:paraId="6EA59949" w14:textId="77777777" w:rsidR="002473D4" w:rsidRPr="00651AE9" w:rsidRDefault="00CB26EC" w:rsidP="002473D4">
      <w:pPr>
        <w:spacing w:after="0"/>
        <w:ind w:left="720" w:firstLine="720"/>
        <w:jc w:val="center"/>
        <w:rPr>
          <w:bCs/>
          <w:i/>
        </w:rPr>
      </w:pPr>
      <m:oMathPara>
        <m:oMathParaPr>
          <m:jc m:val="left"/>
        </m:oMathParaPr>
        <m:oMath>
          <m:sSub>
            <m:sSubPr>
              <m:ctrlPr>
                <w:rPr>
                  <w:rFonts w:ascii="Cambria Math" w:eastAsiaTheme="minorEastAsia" w:hAnsi="Cambria Math"/>
                </w:rPr>
              </m:ctrlPr>
            </m:sSubPr>
            <m:e>
              <m:r>
                <w:rPr>
                  <w:rFonts w:ascii="Cambria Math" w:hAnsi="Cambria Math"/>
                </w:rPr>
                <m:t>G</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GABAa,max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m:oMathPara>
    </w:p>
    <w:p w14:paraId="61F682B9" w14:textId="77777777" w:rsidR="002473D4" w:rsidRPr="00651AE9" w:rsidRDefault="00CB26EC" w:rsidP="002473D4">
      <w:pPr>
        <w:spacing w:after="0"/>
        <w:ind w:firstLine="720"/>
        <w:jc w:val="center"/>
        <w:rPr>
          <w:bCs/>
        </w:rPr>
      </w:pPr>
      <m:oMath>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w:r w:rsidR="002473D4" w:rsidRPr="00651AE9">
        <w:rPr>
          <w:bCs/>
        </w:rPr>
        <w:tab/>
        <w:t>(5)</w:t>
      </w:r>
    </w:p>
    <w:p w14:paraId="4901E120" w14:textId="77777777" w:rsidR="002473D4" w:rsidRPr="00651AE9" w:rsidRDefault="002473D4" w:rsidP="002473D4">
      <w:pPr>
        <w:spacing w:after="0"/>
        <w:ind w:firstLine="720"/>
        <w:jc w:val="center"/>
        <w:rPr>
          <w:bCs/>
          <w:i/>
        </w:rPr>
      </w:pPr>
    </w:p>
    <w:p w14:paraId="6826745F" w14:textId="77777777" w:rsidR="002473D4" w:rsidRPr="00651AE9" w:rsidRDefault="002473D4" w:rsidP="002473D4">
      <w:pPr>
        <w:spacing w:after="0" w:line="360" w:lineRule="auto"/>
        <w:rPr>
          <w:bCs/>
        </w:rPr>
      </w:pPr>
      <w:r w:rsidRPr="00651AE9">
        <w:rPr>
          <w:bCs/>
        </w:rPr>
        <w:t xml:space="preserve">where </w:t>
      </w:r>
      <w:r w:rsidRPr="00651AE9">
        <w:rPr>
          <w:bCs/>
          <w:i/>
        </w:rPr>
        <w:t>V</w:t>
      </w:r>
      <w:r w:rsidRPr="00651AE9">
        <w:rPr>
          <w:bCs/>
        </w:rPr>
        <w:t xml:space="preserve"> is the membrane potential (mV) of the compartment (dendrite or soma) where the synapse is located, </w:t>
      </w:r>
      <w:r w:rsidRPr="00651AE9">
        <w:rPr>
          <w:bCs/>
          <w:i/>
          <w:iCs/>
        </w:rPr>
        <w:t xml:space="preserve">I </w:t>
      </w:r>
      <w:r w:rsidRPr="00651AE9">
        <w:rPr>
          <w:bCs/>
        </w:rPr>
        <w:t>is the current injected into the compartment (</w:t>
      </w:r>
      <w:proofErr w:type="spellStart"/>
      <w:r w:rsidRPr="00651AE9">
        <w:rPr>
          <w:bCs/>
        </w:rPr>
        <w:t>nA</w:t>
      </w:r>
      <w:proofErr w:type="spellEnd"/>
      <w:r w:rsidRPr="00651AE9">
        <w:rPr>
          <w:bCs/>
        </w:rPr>
        <w:t xml:space="preserve">), </w:t>
      </w:r>
      <w:r w:rsidRPr="00651AE9">
        <w:rPr>
          <w:bCs/>
          <w:i/>
          <w:iCs/>
        </w:rPr>
        <w:t xml:space="preserve">G </w:t>
      </w:r>
      <w:r w:rsidRPr="00651AE9">
        <w:rPr>
          <w:bCs/>
        </w:rPr>
        <w:t xml:space="preserve">is the synaptic conductance (µS), </w:t>
      </w:r>
      <m:oMath>
        <m:r>
          <w:rPr>
            <w:rFonts w:ascii="Cambria Math" w:hAnsi="Cambria Math"/>
          </w:rPr>
          <m:t>w</m:t>
        </m:r>
      </m:oMath>
      <w:r w:rsidRPr="00651AE9">
        <w:rPr>
          <w:bCs/>
        </w:rPr>
        <w:t xml:space="preserve"> is the synaptic weight (unitless), and </w:t>
      </w:r>
      <w:r w:rsidRPr="00651AE9">
        <w:rPr>
          <w:bCs/>
          <w:i/>
          <w:iCs/>
        </w:rPr>
        <w:t xml:space="preserve">E </w:t>
      </w:r>
      <w:r w:rsidRPr="00651AE9">
        <w:rPr>
          <w:bCs/>
        </w:rPr>
        <w:t xml:space="preserve">is the reversal potential of the synapse (mV). </w:t>
      </w:r>
      <w:proofErr w:type="spellStart"/>
      <w:r w:rsidRPr="00651AE9">
        <w:rPr>
          <w:bCs/>
          <w:i/>
          <w:iCs/>
        </w:rPr>
        <w:t>g</w:t>
      </w:r>
      <w:r w:rsidRPr="00651AE9">
        <w:rPr>
          <w:bCs/>
          <w:i/>
          <w:iCs/>
          <w:vertAlign w:val="subscript"/>
        </w:rPr>
        <w:t>x,max</w:t>
      </w:r>
      <w:proofErr w:type="spellEnd"/>
      <w:r w:rsidRPr="00651AE9">
        <w:rPr>
          <w:bCs/>
          <w:i/>
          <w:iCs/>
          <w:vertAlign w:val="subscript"/>
        </w:rPr>
        <w:t xml:space="preserve"> </w:t>
      </w:r>
      <w:r w:rsidRPr="00651AE9">
        <w:rPr>
          <w:bCs/>
        </w:rPr>
        <w:t xml:space="preserve">is the maximal conductance (µS), </w:t>
      </w:r>
      <w:r w:rsidRPr="00651AE9">
        <w:rPr>
          <w:bCs/>
          <w:i/>
          <w:iCs/>
        </w:rPr>
        <w:t>F</w:t>
      </w:r>
      <w:r w:rsidRPr="00651AE9">
        <w:rPr>
          <w:bCs/>
        </w:rPr>
        <w:t xml:space="preserve"> implements short-term plasticity as defined in the next section, and </w:t>
      </w:r>
      <w:proofErr w:type="spellStart"/>
      <w:r w:rsidRPr="00651AE9">
        <w:rPr>
          <w:bCs/>
          <w:i/>
          <w:iCs/>
        </w:rPr>
        <w:t>r</w:t>
      </w:r>
      <w:r w:rsidRPr="00651AE9">
        <w:rPr>
          <w:bCs/>
          <w:i/>
          <w:iCs/>
          <w:vertAlign w:val="subscript"/>
        </w:rPr>
        <w:t>x</w:t>
      </w:r>
      <w:proofErr w:type="spellEnd"/>
      <w:r w:rsidRPr="00651AE9">
        <w:rPr>
          <w:bCs/>
          <w:i/>
          <w:iCs/>
        </w:rPr>
        <w:t xml:space="preserve"> </w:t>
      </w:r>
      <w:r w:rsidRPr="00651AE9">
        <w:rPr>
          <w:bCs/>
        </w:rPr>
        <w:t xml:space="preserve">determines the synaptic current rise and decay time constants based on the terms </w:t>
      </w:r>
      <w:r w:rsidRPr="00651AE9">
        <w:rPr>
          <w:bCs/>
          <w:i/>
        </w:rPr>
        <w:t>α</w:t>
      </w:r>
      <w:proofErr w:type="spellStart"/>
      <w:r w:rsidRPr="00651AE9">
        <w:rPr>
          <w:bCs/>
          <w:i/>
        </w:rPr>
        <w:t>Tmax</w:t>
      </w:r>
      <w:proofErr w:type="spellEnd"/>
      <w:r w:rsidRPr="00651AE9">
        <w:rPr>
          <w:bCs/>
          <w:vertAlign w:val="subscript"/>
        </w:rPr>
        <w:t xml:space="preserve"> </w:t>
      </w:r>
      <w:r w:rsidRPr="00651AE9">
        <w:rPr>
          <w:bCs/>
        </w:rPr>
        <w:t>and β (</w:t>
      </w:r>
      <w:r w:rsidRPr="00651AE9">
        <w:rPr>
          <w:bCs/>
          <w:i/>
        </w:rPr>
        <w:t>62</w:t>
      </w:r>
      <w:r w:rsidRPr="00651AE9">
        <w:rPr>
          <w:bCs/>
        </w:rPr>
        <w:t xml:space="preserve">). The voltage-dependent variable </w:t>
      </w:r>
      <w:r w:rsidRPr="00651AE9">
        <w:rPr>
          <w:bCs/>
          <w:i/>
        </w:rPr>
        <w:t>s</w:t>
      </w:r>
      <w:r w:rsidRPr="00651AE9">
        <w:rPr>
          <w:bCs/>
        </w:rPr>
        <w:t>(</w:t>
      </w:r>
      <w:r w:rsidRPr="00651AE9">
        <w:rPr>
          <w:bCs/>
          <w:i/>
        </w:rPr>
        <w:t>V</w:t>
      </w:r>
      <w:r w:rsidRPr="00651AE9">
        <w:rPr>
          <w:bCs/>
        </w:rPr>
        <w:t>) which implements the Mg</w:t>
      </w:r>
      <w:r w:rsidRPr="00651AE9">
        <w:rPr>
          <w:bCs/>
          <w:vertAlign w:val="superscript"/>
        </w:rPr>
        <w:t>2+</w:t>
      </w:r>
      <w:r w:rsidRPr="00651AE9">
        <w:rPr>
          <w:bCs/>
        </w:rPr>
        <w:t xml:space="preserve"> block was defined as: </w:t>
      </w:r>
      <w:r w:rsidRPr="00651AE9">
        <w:rPr>
          <w:bCs/>
          <w:i/>
        </w:rPr>
        <w:t>s</w:t>
      </w:r>
      <w:r w:rsidRPr="00651AE9">
        <w:rPr>
          <w:bCs/>
        </w:rPr>
        <w:t>(</w:t>
      </w:r>
      <w:r w:rsidRPr="00651AE9">
        <w:rPr>
          <w:bCs/>
          <w:i/>
        </w:rPr>
        <w:t>V</w:t>
      </w:r>
      <w:r w:rsidRPr="00651AE9">
        <w:rPr>
          <w:bCs/>
        </w:rPr>
        <w:t xml:space="preserve">) = [1 + 0.33 </w:t>
      </w:r>
      <w:proofErr w:type="gramStart"/>
      <w:r w:rsidRPr="00651AE9">
        <w:rPr>
          <w:bCs/>
        </w:rPr>
        <w:t>exp(</w:t>
      </w:r>
      <w:proofErr w:type="gramEnd"/>
      <w:r w:rsidRPr="00651AE9">
        <w:rPr>
          <w:bCs/>
        </w:rPr>
        <w:t xml:space="preserve">-0.06 </w:t>
      </w:r>
      <w:r w:rsidRPr="00651AE9">
        <w:rPr>
          <w:bCs/>
          <w:i/>
          <w:iCs/>
        </w:rPr>
        <w:t>V</w:t>
      </w:r>
      <w:r w:rsidRPr="00651AE9">
        <w:rPr>
          <w:bCs/>
        </w:rPr>
        <w:t>)]</w:t>
      </w:r>
      <w:r w:rsidRPr="00651AE9">
        <w:rPr>
          <w:bCs/>
          <w:vertAlign w:val="superscript"/>
        </w:rPr>
        <w:t>-1</w:t>
      </w:r>
      <w:r w:rsidRPr="00651AE9">
        <w:rPr>
          <w:bCs/>
        </w:rPr>
        <w:t xml:space="preserve"> (</w:t>
      </w:r>
      <w:r w:rsidRPr="00651AE9">
        <w:rPr>
          <w:bCs/>
          <w:i/>
        </w:rPr>
        <w:t>64</w:t>
      </w:r>
      <w:r w:rsidRPr="00651AE9">
        <w:rPr>
          <w:bCs/>
        </w:rPr>
        <w:t xml:space="preserve">). The terms </w:t>
      </w:r>
      <w:r w:rsidRPr="00651AE9">
        <w:rPr>
          <w:bCs/>
          <w:i/>
        </w:rPr>
        <w:t>ON</w:t>
      </w:r>
      <w:r w:rsidRPr="00651AE9">
        <w:rPr>
          <w:bCs/>
          <w:i/>
          <w:vertAlign w:val="subscript"/>
        </w:rPr>
        <w:t>NMDA</w:t>
      </w:r>
      <w:r w:rsidRPr="00651AE9">
        <w:rPr>
          <w:bCs/>
          <w:i/>
        </w:rPr>
        <w:t xml:space="preserve"> </w:t>
      </w:r>
      <w:r w:rsidRPr="00651AE9">
        <w:rPr>
          <w:bCs/>
        </w:rPr>
        <w:t xml:space="preserve">and </w:t>
      </w:r>
      <w:r w:rsidRPr="00651AE9">
        <w:rPr>
          <w:bCs/>
          <w:i/>
        </w:rPr>
        <w:t>ON</w:t>
      </w:r>
      <w:r w:rsidRPr="00651AE9">
        <w:rPr>
          <w:bCs/>
          <w:i/>
          <w:vertAlign w:val="subscript"/>
        </w:rPr>
        <w:t>AMPA</w:t>
      </w:r>
      <w:r w:rsidRPr="00651AE9">
        <w:rPr>
          <w:bCs/>
        </w:rPr>
        <w:t xml:space="preserve"> are set to 1 if the corresponding receptor is open, else to 0. Synaptic parameter values are listed in Table S3 as mean ± std. For all connections, synaptic weight </w:t>
      </w:r>
      <w:r w:rsidRPr="00651AE9">
        <w:rPr>
          <w:bCs/>
          <w:i/>
          <w:iCs/>
        </w:rPr>
        <w:t>w</w:t>
      </w:r>
      <w:r w:rsidRPr="00651AE9">
        <w:rPr>
          <w:bCs/>
        </w:rPr>
        <w:t xml:space="preserve"> was distributed log-normally with a cut </w:t>
      </w:r>
      <w:proofErr w:type="gramStart"/>
      <w:r w:rsidRPr="00651AE9">
        <w:rPr>
          <w:bCs/>
        </w:rPr>
        <w:t>off of</w:t>
      </w:r>
      <w:proofErr w:type="gramEnd"/>
      <w:r w:rsidRPr="00651AE9">
        <w:rPr>
          <w:bCs/>
        </w:rPr>
        <w:t xml:space="preserve"> three times the mean to prevent non-physiological values. </w:t>
      </w:r>
    </w:p>
    <w:p w14:paraId="264B41FF" w14:textId="77777777" w:rsidR="002473D4" w:rsidRPr="003112D0" w:rsidRDefault="002473D4" w:rsidP="002473D4">
      <w:pPr>
        <w:spacing w:after="0" w:line="360" w:lineRule="auto"/>
        <w:rPr>
          <w:bCs/>
        </w:rPr>
      </w:pPr>
      <w:r w:rsidRPr="00651AE9">
        <w:rPr>
          <w:bCs/>
          <w:i/>
        </w:rPr>
        <w:lastRenderedPageBreak/>
        <w:t xml:space="preserve">Short-term presynaptic plasticity: </w:t>
      </w:r>
      <w:r w:rsidRPr="00651AE9">
        <w:rPr>
          <w:bCs/>
        </w:rPr>
        <w:t xml:space="preserve">The term Int represents both </w:t>
      </w:r>
      <w:proofErr w:type="spellStart"/>
      <w:r>
        <w:rPr>
          <w:bCs/>
        </w:rPr>
        <w:t>Chns</w:t>
      </w:r>
      <w:proofErr w:type="spellEnd"/>
      <w:r w:rsidRPr="00651AE9">
        <w:rPr>
          <w:bCs/>
        </w:rPr>
        <w:t xml:space="preserve"> and Basket </w:t>
      </w:r>
      <w:proofErr w:type="spellStart"/>
      <w:r w:rsidRPr="00651AE9">
        <w:rPr>
          <w:bCs/>
        </w:rPr>
        <w:t>I</w:t>
      </w:r>
      <w:r>
        <w:rPr>
          <w:bCs/>
        </w:rPr>
        <w:t>Ns</w:t>
      </w:r>
      <w:r w:rsidRPr="00651AE9">
        <w:rPr>
          <w:bCs/>
        </w:rPr>
        <w:t>.</w:t>
      </w:r>
      <w:proofErr w:type="spellEnd"/>
      <w:r w:rsidRPr="00651AE9">
        <w:rPr>
          <w:bCs/>
        </w:rPr>
        <w:t xml:space="preserve"> All model AMPA and GABA synapses also exhibited short term pre-synaptic plasticity (</w:t>
      </w:r>
      <w:r w:rsidRPr="00651AE9">
        <w:rPr>
          <w:bCs/>
          <w:i/>
        </w:rPr>
        <w:t>54</w:t>
      </w:r>
      <w:r w:rsidRPr="00651AE9">
        <w:rPr>
          <w:bCs/>
        </w:rPr>
        <w:t>). Short-term depression was modelled at Int-&gt;PN and PN-&gt;Int connections based on experimental findings in this study and previous reports (</w:t>
      </w:r>
      <w:r w:rsidRPr="00651AE9">
        <w:rPr>
          <w:bCs/>
          <w:i/>
        </w:rPr>
        <w:t>49</w:t>
      </w:r>
      <w:r w:rsidRPr="00651AE9">
        <w:rPr>
          <w:bCs/>
        </w:rPr>
        <w:t>). Short term plasticity was implemented as follows (</w:t>
      </w:r>
      <w:r w:rsidRPr="00651AE9">
        <w:rPr>
          <w:bCs/>
          <w:i/>
        </w:rPr>
        <w:t>65</w:t>
      </w:r>
      <w:r w:rsidRPr="00651AE9">
        <w:rPr>
          <w:bCs/>
        </w:rPr>
        <w:t>): For facilitation, the factor F was calculated using the equation:</w:t>
      </w:r>
      <w:r>
        <w:rPr>
          <w:bCs/>
        </w:rPr>
        <w:t xml:space="preserve"> </w:t>
      </w:r>
      <m:oMath>
        <m:r>
          <w:rPr>
            <w:rFonts w:ascii="Cambria Math" w:hAnsi="Cambria Math"/>
          </w:rPr>
          <m:t>τ_F*dF/dt=1-F</m:t>
        </m:r>
      </m:oMath>
      <w:r>
        <w:rPr>
          <w:bCs/>
        </w:rPr>
        <w:t xml:space="preserve"> </w:t>
      </w:r>
      <w:r w:rsidRPr="00651AE9">
        <w:rPr>
          <w:bCs/>
        </w:rPr>
        <w:t xml:space="preserve"> </w:t>
      </w:r>
      <w:r w:rsidRPr="009A524B">
        <w:rPr>
          <w:bCs/>
        </w:rPr>
        <w:t>and was constrained to be ≥ 1.After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F→F*f.</w:t>
      </w:r>
      <w:r>
        <w:rPr>
          <w:bCs/>
        </w:rPr>
        <w:t xml:space="preserve"> </w:t>
      </w:r>
      <w:r w:rsidRPr="009A524B">
        <w:rPr>
          <w:bCs/>
        </w:rPr>
        <w:t>Between stimuli,</w:t>
      </w:r>
      <w:r>
        <w:rPr>
          <w:bCs/>
        </w:rPr>
        <w:t xml:space="preserve"> </w:t>
      </w:r>
      <w:r w:rsidRPr="009A524B">
        <w:rPr>
          <w:bCs/>
        </w:rPr>
        <w:t>F recovered exponentially back toward 1.</w:t>
      </w:r>
      <w:r>
        <w:rPr>
          <w:bCs/>
        </w:rPr>
        <w:t xml:space="preserve"> </w:t>
      </w:r>
      <w:r w:rsidRPr="009A524B">
        <w:rPr>
          <w:bCs/>
        </w:rPr>
        <w:t xml:space="preserve">A similar scheme was used to calculate the factor D for depression: </w:t>
      </w:r>
      <w:proofErr w:type="spellStart"/>
      <w:r w:rsidRPr="009A524B">
        <w:rPr>
          <w:bCs/>
        </w:rPr>
        <w:t>τ</w:t>
      </w:r>
      <w:r>
        <w:rPr>
          <w:bCs/>
        </w:rPr>
        <w:t>_</w:t>
      </w:r>
      <w:r w:rsidRPr="009A524B">
        <w:rPr>
          <w:bCs/>
        </w:rPr>
        <w:t>D</w:t>
      </w:r>
      <w:proofErr w:type="spellEnd"/>
      <w:r w:rsidRPr="009A524B">
        <w:rPr>
          <w:bCs/>
        </w:rPr>
        <w:t>*</w:t>
      </w:r>
      <w:proofErr w:type="spellStart"/>
      <w:r w:rsidRPr="009A524B">
        <w:rPr>
          <w:bCs/>
        </w:rPr>
        <w:t>dD</w:t>
      </w:r>
      <w:proofErr w:type="spellEnd"/>
      <w:r w:rsidRPr="009A524B">
        <w:rPr>
          <w:bCs/>
        </w:rPr>
        <w:t>/dt=1-D and D constrained to be ≤ 1.After each stimulus,</w:t>
      </w:r>
      <w:r>
        <w:rPr>
          <w:bCs/>
        </w:rPr>
        <w:t xml:space="preserve"> </w:t>
      </w:r>
      <w:r w:rsidRPr="009A524B">
        <w:rPr>
          <w:bCs/>
        </w:rPr>
        <w:t>D was multiplied by a constant d (≤ 1) representing the amount of depression per pre-synaptic action potential and updated as D→D*d.</w:t>
      </w:r>
      <w:r>
        <w:rPr>
          <w:bCs/>
        </w:rPr>
        <w:t xml:space="preserve"> </w:t>
      </w:r>
      <w:r w:rsidRPr="009A524B">
        <w:rPr>
          <w:bCs/>
        </w:rPr>
        <w:t>Between stimuli,</w:t>
      </w:r>
      <w:r>
        <w:rPr>
          <w:bCs/>
        </w:rPr>
        <w:t xml:space="preserve"> </w:t>
      </w:r>
      <w:r w:rsidRPr="009A524B">
        <w:rPr>
          <w:bCs/>
        </w:rPr>
        <w:t>D recovered exponentially back toward 1.We modelled depression using two factors d1 and d2 with d1 being fast and d2 being slow subtypes,</w:t>
      </w:r>
      <w:r>
        <w:rPr>
          <w:bCs/>
        </w:rPr>
        <w:t xml:space="preserve"> </w:t>
      </w:r>
      <w:r w:rsidRPr="009A524B">
        <w:rPr>
          <w:bCs/>
        </w:rPr>
        <w:t>and d=d_1*d_2</w:t>
      </w:r>
      <w:r>
        <w:rPr>
          <w:bCs/>
        </w:rPr>
        <w:t xml:space="preserve"> and </w:t>
      </w:r>
      <w:r w:rsidRPr="009A524B">
        <w:rPr>
          <w:bCs/>
        </w:rPr>
        <w:t>was constrained to be ≥ 1.</w:t>
      </w:r>
      <w:r>
        <w:rPr>
          <w:bCs/>
        </w:rPr>
        <w:t xml:space="preserve"> </w:t>
      </w:r>
      <w:r w:rsidRPr="009A524B">
        <w:rPr>
          <w:bCs/>
        </w:rPr>
        <w:t>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w:t>
      </w:r>
      <w:r>
        <w:rPr>
          <w:bCs/>
        </w:rPr>
        <w:t xml:space="preserve">. </w:t>
      </w:r>
      <w:r w:rsidRPr="00651AE9">
        <w:rPr>
          <w:bCs/>
        </w:rPr>
        <w:t xml:space="preserve">Parameters for modelling short-term plasticity are listed in Table S4. Our model did not have long-term synaptic plasticity. </w:t>
      </w:r>
    </w:p>
    <w:p w14:paraId="302F932D" w14:textId="77777777" w:rsidR="002473D4" w:rsidRPr="00037C15" w:rsidRDefault="002473D4" w:rsidP="002473D4">
      <w:pPr>
        <w:spacing w:after="0" w:line="360" w:lineRule="auto"/>
        <w:rPr>
          <w:bCs/>
        </w:rPr>
      </w:pPr>
      <w:r w:rsidRPr="00651AE9">
        <w:rPr>
          <w:bCs/>
          <w:i/>
        </w:rPr>
        <w:t xml:space="preserve">Intrinsic </w:t>
      </w:r>
      <w:r w:rsidRPr="00651AE9">
        <w:rPr>
          <w:bCs/>
          <w:i/>
          <w:iCs/>
        </w:rPr>
        <w:t>connections:</w:t>
      </w:r>
      <w:r w:rsidRPr="00651AE9">
        <w:rPr>
          <w:bCs/>
        </w:rPr>
        <w:t xml:space="preserve"> Except for Int-&gt;Int connectivity that had both chemical and electrical components, all other connections were via chemical synapses; hereafter, unless qualified by ‘electrical’, the connections are assumed to be via chemical synapses. PN-&gt;PN connections were not detected in BLA (</w:t>
      </w:r>
      <w:r>
        <w:rPr>
          <w:bCs/>
        </w:rPr>
        <w:t>o</w:t>
      </w:r>
      <w:r w:rsidRPr="00651AE9">
        <w:rPr>
          <w:bCs/>
        </w:rPr>
        <w:t xml:space="preserve">ur unpublished data) and so were not included. For all the other connection types, we used published data </w:t>
      </w:r>
      <w:bookmarkStart w:id="2" w:name="_Hlk38529160"/>
      <w:r w:rsidRPr="00651AE9">
        <w:rPr>
          <w:bCs/>
        </w:rPr>
        <w:t>(</w:t>
      </w:r>
      <w:r w:rsidRPr="00651AE9">
        <w:rPr>
          <w:bCs/>
          <w:i/>
        </w:rPr>
        <w:t>49</w:t>
      </w:r>
      <w:r w:rsidRPr="00651AE9">
        <w:rPr>
          <w:bCs/>
        </w:rPr>
        <w:t>)</w:t>
      </w:r>
      <w:bookmarkEnd w:id="2"/>
      <w:r w:rsidRPr="00651AE9">
        <w:rPr>
          <w:bCs/>
        </w:rPr>
        <w:t xml:space="preserve">, limiting connectivity from/to </w:t>
      </w:r>
      <w:proofErr w:type="gramStart"/>
      <w:r w:rsidRPr="00651AE9">
        <w:rPr>
          <w:bCs/>
        </w:rPr>
        <w:t>INs</w:t>
      </w:r>
      <w:proofErr w:type="gramEnd"/>
      <w:r w:rsidRPr="00651AE9">
        <w:rPr>
          <w:bCs/>
        </w:rPr>
        <w:t xml:space="preserve"> to within ~300 µm. Using such data, probabilities in the model for unidirectional Int-&gt;PN and PN-&gt;Int synaptic connections, and for Int-&gt;Int electrical connections were, respectively, 34%, 12%, and 8%. Also, reciprocal connections between PNs and </w:t>
      </w:r>
      <w:proofErr w:type="gramStart"/>
      <w:r w:rsidRPr="00651AE9">
        <w:rPr>
          <w:bCs/>
        </w:rPr>
        <w:t>INs</w:t>
      </w:r>
      <w:proofErr w:type="gramEnd"/>
      <w:r w:rsidRPr="00651AE9">
        <w:rPr>
          <w:bCs/>
        </w:rPr>
        <w:t xml:space="preserve"> was set to 16%. These connectivity numbers in our model resulted in an overall synaptic Basket-&gt;Basket and Basket-&gt;</w:t>
      </w:r>
      <w:proofErr w:type="spellStart"/>
      <w:r>
        <w:rPr>
          <w:bCs/>
        </w:rPr>
        <w:t>Chn</w:t>
      </w:r>
      <w:proofErr w:type="spellEnd"/>
      <w:r>
        <w:rPr>
          <w:bCs/>
        </w:rPr>
        <w:t xml:space="preserve"> </w:t>
      </w:r>
      <w:r w:rsidRPr="00651AE9">
        <w:rPr>
          <w:bCs/>
        </w:rPr>
        <w:t xml:space="preserve">connectivity of 26% of which 20% was unidirectional and 3% bi-directional. </w:t>
      </w:r>
      <w:proofErr w:type="spellStart"/>
      <w:r>
        <w:rPr>
          <w:bCs/>
        </w:rPr>
        <w:t>Chns</w:t>
      </w:r>
      <w:proofErr w:type="spellEnd"/>
      <w:r w:rsidRPr="00651AE9">
        <w:rPr>
          <w:bCs/>
        </w:rPr>
        <w:t xml:space="preserve"> contact</w:t>
      </w:r>
      <w:r>
        <w:rPr>
          <w:bCs/>
        </w:rPr>
        <w:t>ed only</w:t>
      </w:r>
      <w:r w:rsidRPr="00651AE9">
        <w:rPr>
          <w:bCs/>
        </w:rPr>
        <w:t xml:space="preserve"> PNs so there were no </w:t>
      </w:r>
      <w:proofErr w:type="spellStart"/>
      <w:r>
        <w:rPr>
          <w:bCs/>
        </w:rPr>
        <w:t>Chn</w:t>
      </w:r>
      <w:proofErr w:type="spellEnd"/>
      <w:r w:rsidRPr="00651AE9">
        <w:rPr>
          <w:bCs/>
        </w:rPr>
        <w:t>-&gt;</w:t>
      </w:r>
      <w:proofErr w:type="spellStart"/>
      <w:r>
        <w:rPr>
          <w:bCs/>
        </w:rPr>
        <w:t>Chn</w:t>
      </w:r>
      <w:proofErr w:type="spellEnd"/>
      <w:r>
        <w:rPr>
          <w:bCs/>
        </w:rPr>
        <w:t xml:space="preserve"> </w:t>
      </w:r>
      <w:r w:rsidRPr="00651AE9">
        <w:rPr>
          <w:bCs/>
        </w:rPr>
        <w:t xml:space="preserve">or </w:t>
      </w:r>
      <w:proofErr w:type="spellStart"/>
      <w:r>
        <w:rPr>
          <w:bCs/>
        </w:rPr>
        <w:t>Chn</w:t>
      </w:r>
      <w:proofErr w:type="spellEnd"/>
      <w:r w:rsidRPr="00651AE9">
        <w:rPr>
          <w:bCs/>
        </w:rPr>
        <w:t xml:space="preserve">-&gt;Basket </w:t>
      </w:r>
      <w:r>
        <w:rPr>
          <w:bCs/>
        </w:rPr>
        <w:t xml:space="preserve">IN </w:t>
      </w:r>
      <w:r w:rsidRPr="00651AE9">
        <w:rPr>
          <w:bCs/>
        </w:rPr>
        <w:t xml:space="preserve">connections. These probabilities resulted in the intrinsic connectivity shown in Table S4. Axonal conduction delay was distance-dependent using a conduction velocity of 500 </w:t>
      </w:r>
      <w:proofErr w:type="spellStart"/>
      <w:r w:rsidRPr="00651AE9">
        <w:rPr>
          <w:bCs/>
        </w:rPr>
        <w:t>μm</w:t>
      </w:r>
      <w:proofErr w:type="spellEnd"/>
      <w:r w:rsidRPr="00651AE9">
        <w:rPr>
          <w:bCs/>
        </w:rPr>
        <w:t>/</w:t>
      </w:r>
      <w:proofErr w:type="spellStart"/>
      <w:r w:rsidRPr="00651AE9">
        <w:rPr>
          <w:bCs/>
        </w:rPr>
        <w:t>ms.</w:t>
      </w:r>
      <w:proofErr w:type="spellEnd"/>
      <w:r w:rsidRPr="00651AE9">
        <w:rPr>
          <w:bCs/>
        </w:rPr>
        <w:t xml:space="preserve">   </w:t>
      </w:r>
    </w:p>
    <w:p w14:paraId="60802B66" w14:textId="77777777" w:rsidR="002473D4" w:rsidRDefault="002473D4" w:rsidP="002473D4">
      <w:pPr>
        <w:tabs>
          <w:tab w:val="left" w:pos="3342"/>
        </w:tabs>
        <w:spacing w:after="0" w:line="240" w:lineRule="auto"/>
      </w:pPr>
    </w:p>
    <w:p w14:paraId="19389649" w14:textId="77777777" w:rsidR="000B455B" w:rsidRDefault="000B455B" w:rsidP="000B455B">
      <w:pPr>
        <w:rPr>
          <w:rFonts w:ascii="Times New Roman" w:hAnsi="Times New Roman" w:cs="Times New Roman"/>
          <w:b/>
          <w:bCs/>
        </w:rPr>
      </w:pPr>
    </w:p>
    <w:p w14:paraId="544DCD15" w14:textId="1334799B" w:rsidR="004E10F7" w:rsidRDefault="000B455B" w:rsidP="004E10F7">
      <w:pPr>
        <w:rPr>
          <w:rFonts w:ascii="Times New Roman" w:hAnsi="Times New Roman" w:cs="Times New Roman"/>
          <w:b/>
          <w:bCs/>
        </w:rPr>
      </w:pPr>
      <w:r>
        <w:rPr>
          <w:rFonts w:ascii="Times New Roman" w:hAnsi="Times New Roman" w:cs="Times New Roman"/>
          <w:b/>
          <w:bCs/>
        </w:rPr>
        <w:br w:type="page"/>
      </w:r>
    </w:p>
    <w:p w14:paraId="679B7E35" w14:textId="77777777" w:rsidR="000B455B" w:rsidRDefault="000B455B" w:rsidP="000B455B">
      <w:pPr>
        <w:rPr>
          <w:rFonts w:ascii="Times New Roman" w:hAnsi="Times New Roman" w:cs="Times New Roman"/>
          <w:b/>
          <w:bCs/>
        </w:rPr>
      </w:pPr>
    </w:p>
    <w:p w14:paraId="75858A05" w14:textId="77777777" w:rsidR="000B455B" w:rsidRDefault="000B455B" w:rsidP="000B455B">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t>References</w:t>
      </w:r>
    </w:p>
    <w:p w14:paraId="659B3E9F" w14:textId="31E1EEC4" w:rsidR="00514ED9" w:rsidRPr="00F042F6" w:rsidRDefault="00514ED9" w:rsidP="000B455B">
      <w:pPr>
        <w:spacing w:before="100" w:beforeAutospacing="1" w:after="100" w:afterAutospacing="1"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Staley, K., Otis, T., &amp; </w:t>
      </w:r>
      <w:proofErr w:type="spellStart"/>
      <w:r>
        <w:rPr>
          <w:rFonts w:ascii="Times New Roman" w:eastAsia="Times New Roman" w:hAnsi="Times New Roman" w:cs="Times New Roman"/>
          <w:sz w:val="24"/>
          <w:szCs w:val="24"/>
        </w:rPr>
        <w:t>Mody</w:t>
      </w:r>
      <w:proofErr w:type="spellEnd"/>
      <w:r>
        <w:rPr>
          <w:rFonts w:ascii="Times New Roman" w:eastAsia="Times New Roman" w:hAnsi="Times New Roman" w:cs="Times New Roman"/>
          <w:sz w:val="24"/>
          <w:szCs w:val="24"/>
        </w:rPr>
        <w:t xml:space="preserve">, I., (1992) Membrane Properties of Dentate Gyrus Granule Cells: Comparison of Sharp </w:t>
      </w:r>
      <w:r w:rsidR="00660B39">
        <w:rPr>
          <w:rFonts w:ascii="Times New Roman" w:eastAsia="Times New Roman" w:hAnsi="Times New Roman" w:cs="Times New Roman"/>
          <w:sz w:val="24"/>
          <w:szCs w:val="24"/>
        </w:rPr>
        <w:t>Microelectrode and Whole-Cell Recordings</w:t>
      </w:r>
      <w:r w:rsidR="00660B39" w:rsidRPr="003B519A">
        <w:rPr>
          <w:rFonts w:ascii="Times New Roman" w:eastAsia="Times New Roman" w:hAnsi="Times New Roman" w:cs="Times New Roman"/>
          <w:i/>
          <w:iCs/>
          <w:sz w:val="24"/>
          <w:szCs w:val="24"/>
        </w:rPr>
        <w:t>. Journal of Neuroscience</w:t>
      </w:r>
      <w:r w:rsidR="00660B39">
        <w:rPr>
          <w:rFonts w:ascii="Times New Roman" w:eastAsia="Times New Roman" w:hAnsi="Times New Roman" w:cs="Times New Roman"/>
          <w:sz w:val="24"/>
          <w:szCs w:val="24"/>
        </w:rPr>
        <w:t xml:space="preserve">, 67(5) </w:t>
      </w:r>
      <w:r w:rsidR="00660B39" w:rsidRPr="00660B39">
        <w:rPr>
          <w:rFonts w:ascii="Times New Roman" w:eastAsia="Times New Roman" w:hAnsi="Times New Roman" w:cs="Times New Roman"/>
          <w:sz w:val="24"/>
          <w:szCs w:val="24"/>
        </w:rPr>
        <w:t>1346–1358</w:t>
      </w:r>
      <w:r w:rsidR="00660B39">
        <w:rPr>
          <w:rFonts w:ascii="Times New Roman" w:eastAsia="Times New Roman" w:hAnsi="Times New Roman" w:cs="Times New Roman"/>
          <w:sz w:val="24"/>
          <w:szCs w:val="24"/>
        </w:rPr>
        <w:t>.</w:t>
      </w:r>
    </w:p>
    <w:p w14:paraId="744B2EB3" w14:textId="77777777" w:rsidR="000B455B" w:rsidRPr="008C13CF" w:rsidRDefault="000B455B" w:rsidP="000B455B">
      <w:pPr>
        <w:spacing w:after="100" w:afterAutospacing="1" w:line="240" w:lineRule="auto"/>
        <w:ind w:left="475" w:hanging="475"/>
        <w:rPr>
          <w:rFonts w:ascii="Times New Roman" w:eastAsia="Times New Roman" w:hAnsi="Times New Roman" w:cs="Times New Roman"/>
          <w:sz w:val="24"/>
          <w:szCs w:val="24"/>
        </w:rPr>
      </w:pPr>
    </w:p>
    <w:p w14:paraId="169DD45B" w14:textId="77777777" w:rsidR="000B455B" w:rsidRDefault="000B455B">
      <w:bookmarkStart w:id="3" w:name="_GoBack"/>
      <w:bookmarkEnd w:id="3"/>
    </w:p>
    <w:sectPr w:rsidR="000B455B" w:rsidSect="00A66C1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675ED" w14:textId="77777777" w:rsidR="00CB26EC" w:rsidRDefault="00CB26EC" w:rsidP="00F67D54">
      <w:pPr>
        <w:spacing w:after="0" w:line="240" w:lineRule="auto"/>
      </w:pPr>
      <w:r>
        <w:separator/>
      </w:r>
    </w:p>
  </w:endnote>
  <w:endnote w:type="continuationSeparator" w:id="0">
    <w:p w14:paraId="33EEE3F1" w14:textId="77777777" w:rsidR="00CB26EC" w:rsidRDefault="00CB26EC"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F839" w14:textId="62BE07B4" w:rsidR="0009733A" w:rsidRDefault="0009733A">
    <w:pPr>
      <w:pStyle w:val="Footer"/>
    </w:pPr>
    <w:r>
      <w:ptab w:relativeTo="margin" w:alignment="center" w:leader="none"/>
    </w:r>
    <w:r w:rsidR="00514ED9">
      <w:t>Canfield</w:t>
    </w:r>
    <w:r>
      <w:t xml:space="preserve"> et al. (</w:t>
    </w:r>
    <w:r w:rsidR="00514ED9">
      <w:t xml:space="preserve">August </w:t>
    </w:r>
    <w:r>
      <w:t>2020)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C0096" w14:textId="77777777" w:rsidR="00CB26EC" w:rsidRDefault="00CB26EC" w:rsidP="00F67D54">
      <w:pPr>
        <w:spacing w:after="0" w:line="240" w:lineRule="auto"/>
      </w:pPr>
      <w:r>
        <w:separator/>
      </w:r>
    </w:p>
  </w:footnote>
  <w:footnote w:type="continuationSeparator" w:id="0">
    <w:p w14:paraId="2364B773" w14:textId="77777777" w:rsidR="00CB26EC" w:rsidRDefault="00CB26EC"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20DB7"/>
    <w:rsid w:val="00082E1A"/>
    <w:rsid w:val="000917FB"/>
    <w:rsid w:val="0009733A"/>
    <w:rsid w:val="000B455B"/>
    <w:rsid w:val="00104E86"/>
    <w:rsid w:val="00190927"/>
    <w:rsid w:val="001B7CB1"/>
    <w:rsid w:val="001D3087"/>
    <w:rsid w:val="001D4DF6"/>
    <w:rsid w:val="002473D4"/>
    <w:rsid w:val="003012F9"/>
    <w:rsid w:val="003B519A"/>
    <w:rsid w:val="003F0813"/>
    <w:rsid w:val="004E109B"/>
    <w:rsid w:val="004E10F7"/>
    <w:rsid w:val="00514ED9"/>
    <w:rsid w:val="00533F44"/>
    <w:rsid w:val="00553D8E"/>
    <w:rsid w:val="005861E9"/>
    <w:rsid w:val="00624351"/>
    <w:rsid w:val="00632829"/>
    <w:rsid w:val="00660B39"/>
    <w:rsid w:val="006C3499"/>
    <w:rsid w:val="00707917"/>
    <w:rsid w:val="007825CA"/>
    <w:rsid w:val="0078265A"/>
    <w:rsid w:val="00867F79"/>
    <w:rsid w:val="009B1ABE"/>
    <w:rsid w:val="009D1682"/>
    <w:rsid w:val="009D5A49"/>
    <w:rsid w:val="009E7C13"/>
    <w:rsid w:val="00A64CBA"/>
    <w:rsid w:val="00A66C15"/>
    <w:rsid w:val="00AF7CC8"/>
    <w:rsid w:val="00B3330A"/>
    <w:rsid w:val="00B71E24"/>
    <w:rsid w:val="00B80314"/>
    <w:rsid w:val="00C1608C"/>
    <w:rsid w:val="00C44370"/>
    <w:rsid w:val="00C6298F"/>
    <w:rsid w:val="00CB26EC"/>
    <w:rsid w:val="00CB2EDC"/>
    <w:rsid w:val="00D44A5F"/>
    <w:rsid w:val="00E4298B"/>
    <w:rsid w:val="00EA2AF8"/>
    <w:rsid w:val="00EB3D18"/>
    <w:rsid w:val="00EE3F9F"/>
    <w:rsid w:val="00EF05ED"/>
    <w:rsid w:val="00F42D00"/>
    <w:rsid w:val="00F67D54"/>
    <w:rsid w:val="00FB28DE"/>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2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F7B7-5FDB-419E-9AF9-00261074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3</cp:revision>
  <dcterms:created xsi:type="dcterms:W3CDTF">2020-08-03T19:10:00Z</dcterms:created>
  <dcterms:modified xsi:type="dcterms:W3CDTF">2020-08-03T20:03:00Z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