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proofErr w:type="spellStart"/>
      <w:r w:rsidRPr="009A1C48">
        <w:rPr>
          <w:rFonts w:cstheme="minorHAnsi"/>
          <w:bCs/>
        </w:rPr>
        <w:t>Vrest</w:t>
      </w:r>
      <w:proofErr w:type="spellEnd"/>
      <w:r w:rsidRPr="009A1C48">
        <w:rPr>
          <w:rFonts w:cstheme="minorHAnsi"/>
          <w:bCs/>
        </w:rPr>
        <w:t xml:space="preserve"> </w:t>
      </w:r>
      <w:proofErr w:type="gramStart"/>
      <w:r w:rsidRPr="009A1C48">
        <w:rPr>
          <w:rFonts w:cstheme="minorHAnsi"/>
          <w:bCs/>
        </w:rPr>
        <w:t xml:space="preserve">=  </w:t>
      </w:r>
      <w:r w:rsidR="004823EA" w:rsidRPr="009A1C48">
        <w:rPr>
          <w:rFonts w:cstheme="minorHAnsi"/>
          <w:shd w:val="clear" w:color="auto" w:fill="FFFFFF"/>
        </w:rPr>
        <w:t>-</w:t>
      </w:r>
      <w:proofErr w:type="gramEnd"/>
      <w:r w:rsidR="004823EA" w:rsidRPr="009A1C48">
        <w:rPr>
          <w:rFonts w:cstheme="minorHAnsi"/>
          <w:shd w:val="clear" w:color="auto" w:fill="FFFFFF"/>
        </w:rPr>
        <w:t>65.3±4.3 (</w:t>
      </w:r>
      <w:proofErr w:type="spellStart"/>
      <w:r w:rsidR="004823EA" w:rsidRPr="009A1C48">
        <w:rPr>
          <w:rFonts w:cstheme="minorHAnsi"/>
          <w:shd w:val="clear" w:color="auto" w:fill="FFFFFF"/>
        </w:rPr>
        <w:t>Karagiannis</w:t>
      </w:r>
      <w:proofErr w:type="spellEnd"/>
      <w:r w:rsidR="004823EA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</w:t>
      </w:r>
      <w:proofErr w:type="spellStart"/>
      <w:r w:rsidR="009A1C48" w:rsidRPr="009A1C48">
        <w:rPr>
          <w:rFonts w:cstheme="minorHAnsi"/>
          <w:shd w:val="clear" w:color="auto" w:fill="FFFFFF"/>
        </w:rPr>
        <w:t>Karagiannis</w:t>
      </w:r>
      <w:proofErr w:type="spellEnd"/>
      <w:r w:rsidR="009A1C48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7D4E09D5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-60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4A4AFA5A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</w:t>
            </w:r>
            <w:r w:rsidR="000647C5">
              <w:t>2.24</w:t>
            </w:r>
            <w:r>
              <w:t xml:space="preserve"> | 63.2% = -20.</w:t>
            </w:r>
            <w:r w:rsidR="000647C5">
              <w:t>3771336</w:t>
            </w:r>
            <w:r>
              <w:t>| -</w:t>
            </w:r>
            <w:r w:rsidR="000E04F3">
              <w:t>60</w:t>
            </w:r>
            <w:r>
              <w:t xml:space="preserve"> -</w:t>
            </w:r>
            <w:r w:rsidR="000E04F3">
              <w:t xml:space="preserve"> 20.</w:t>
            </w:r>
            <w:r w:rsidR="000647C5">
              <w:t>3771336</w:t>
            </w:r>
            <w:r>
              <w:t xml:space="preserve"> </w:t>
            </w:r>
            <w:proofErr w:type="gramStart"/>
            <w:r>
              <w:t xml:space="preserve">=  </w:t>
            </w:r>
            <w:r w:rsidR="000E04F3">
              <w:t>-</w:t>
            </w:r>
            <w:proofErr w:type="gramEnd"/>
            <w:r w:rsidR="000E04F3">
              <w:t>80.</w:t>
            </w:r>
            <w:r w:rsidR="000647C5">
              <w:t>3771336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</w:t>
            </w:r>
            <w:r w:rsidR="000647C5">
              <w:t>420.325</w:t>
            </w:r>
            <w:r w:rsidR="000E04F3">
              <w:t xml:space="preserve">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647C5">
              <w:t>420.325</w:t>
            </w:r>
            <w:r>
              <w:t>-</w:t>
            </w:r>
            <w:r w:rsidR="000647C5">
              <w:t>4</w:t>
            </w:r>
            <w:r>
              <w:t xml:space="preserve">00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 = </w:t>
            </w:r>
            <w:r w:rsidR="000647C5">
              <w:t>20.325</w:t>
            </w:r>
            <w:r w:rsidRPr="00201ABC">
              <w:t xml:space="preserve"> </w:t>
            </w:r>
            <w:proofErr w:type="spellStart"/>
            <w:r w:rsidRPr="00201ABC">
              <w:t>ms</w:t>
            </w:r>
            <w:proofErr w:type="spellEnd"/>
          </w:p>
          <w:p w14:paraId="1FA3E029" w14:textId="17CC5D8C" w:rsidR="009A1C48" w:rsidRDefault="009A1C48" w:rsidP="004823E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</w:t>
            </w:r>
            <w:r w:rsidR="000647C5">
              <w:rPr>
                <w:b/>
              </w:rPr>
              <w:t>20325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4AB38BE4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</w:t>
            </w:r>
            <w:r w:rsidR="000647C5">
              <w:rPr>
                <w:rFonts w:cstheme="minorHAnsi"/>
              </w:rPr>
              <w:t>424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797AB058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</w:t>
            </w:r>
            <w:r w:rsidR="000647C5">
              <w:rPr>
                <w:rFonts w:cstheme="minorHAnsi"/>
              </w:rPr>
              <w:t>2.2423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647C5">
              <w:rPr>
                <w:rFonts w:cstheme="minorHAnsi"/>
              </w:rPr>
              <w:t>322423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</w:t>
            </w:r>
            <w:proofErr w:type="gramStart"/>
            <w:r>
              <w:rPr>
                <w:rFonts w:cstheme="minorHAnsi"/>
              </w:rPr>
              <w:t xml:space="preserve">= 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>Ω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</w:t>
            </w:r>
            <w:r w:rsidR="000647C5">
              <w:rPr>
                <w:b/>
              </w:rPr>
              <w:t>22.423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53E373AC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 w:rsidRPr="005509EA">
        <w:rPr>
          <w:b/>
        </w:rPr>
        <w:t>(</w:t>
      </w:r>
      <w:proofErr w:type="spellStart"/>
      <w:r w:rsidR="005509EA" w:rsidRPr="005509EA">
        <w:rPr>
          <w:b/>
        </w:rPr>
        <w:t>Fanselow</w:t>
      </w:r>
      <w:proofErr w:type="spellEnd"/>
      <w:r w:rsidR="005509EA" w:rsidRPr="005509EA">
        <w:rPr>
          <w:b/>
        </w:rPr>
        <w:t xml:space="preserve"> et al., 2008)</w:t>
      </w:r>
    </w:p>
    <w:p w14:paraId="0FDE0F7A" w14:textId="2F024AE5" w:rsidR="00867F79" w:rsidRDefault="00395CA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rPr>
          <w:noProof/>
        </w:rPr>
        <w:drawing>
          <wp:inline distT="0" distB="0" distL="0" distR="0" wp14:anchorId="05FFFAFA" wp14:editId="1309F44F">
            <wp:extent cx="68580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5145"/>
        <w:gridCol w:w="4972"/>
      </w:tblGrid>
      <w:tr w:rsidR="00395CA5" w14:paraId="3B146088" w14:textId="77777777" w:rsidTr="00A66C15">
        <w:tc>
          <w:tcPr>
            <w:tcW w:w="715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036" w:type="dxa"/>
          </w:tcPr>
          <w:p w14:paraId="0084776C" w14:textId="0A81E5C5" w:rsidR="00A66C15" w:rsidRDefault="005509EA" w:rsidP="004823EA">
            <w:r w:rsidRPr="005509EA">
              <w:rPr>
                <w:noProof/>
              </w:rPr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74E61DDB" w14:textId="7A12555D" w:rsidR="00A66C15" w:rsidRDefault="00395CA5" w:rsidP="004823EA">
            <w:r>
              <w:rPr>
                <w:noProof/>
              </w:rPr>
              <w:drawing>
                <wp:inline distT="0" distB="0" distL="0" distR="0" wp14:anchorId="2C61C6CC" wp14:editId="52C53A5F">
                  <wp:extent cx="2887980" cy="21031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04" cy="211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A5" w:rsidRPr="00530274" w14:paraId="089FE39D" w14:textId="77777777" w:rsidTr="00A66C15">
        <w:tc>
          <w:tcPr>
            <w:tcW w:w="715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036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2D57B2AE" w14:textId="77777777" w:rsidR="005509EA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gNapbar</w:t>
            </w:r>
            <w:proofErr w:type="spellEnd"/>
          </w:p>
          <w:p w14:paraId="67B0B991" w14:textId="1937656C" w:rsidR="00CA61A7" w:rsidRPr="00E04177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gKmbar</w:t>
            </w:r>
            <w:proofErr w:type="spellEnd"/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67FE2F6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5EB90923" w14:textId="4140A28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1D918B7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CA61A7">
              <w:rPr>
                <w:szCs w:val="24"/>
              </w:rPr>
              <w:t>0014</w:t>
            </w:r>
          </w:p>
          <w:p w14:paraId="46F86737" w14:textId="5E0D3C39" w:rsidR="002D0362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7E850305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707E6988" w14:textId="03CC5F84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3D12F0F" w14:textId="77777777" w:rsidR="005509EA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0.0014</w:t>
            </w:r>
          </w:p>
          <w:p w14:paraId="0925AFBB" w14:textId="50AFFFB7" w:rsidR="00CA61A7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Fanselow</w:t>
      </w:r>
      <w:proofErr w:type="spellEnd"/>
      <w:r w:rsidRPr="00A4357A">
        <w:rPr>
          <w:rFonts w:cstheme="minorHAnsi"/>
          <w:shd w:val="clear" w:color="auto" w:fill="FFFFFF"/>
        </w:rPr>
        <w:t xml:space="preserve">, E. E., Richardson, K. A., &amp; Connors, B. W. (2008). Selective, state-dependent activation of somatostatin-expressing inhibitory interneurons in mouse neocortex. Journal of Neurophysiology, 100(5), 2640–2652. </w:t>
      </w:r>
      <w:hyperlink r:id="rId10" w:history="1">
        <w:r w:rsidRPr="00A4357A">
          <w:rPr>
            <w:rStyle w:val="Hyperlink"/>
            <w:rFonts w:cstheme="minorHAnsi"/>
            <w:shd w:val="clear" w:color="auto" w:fill="FFFFFF"/>
          </w:rPr>
          <w:t>https://doi.org/10.1152/jn.90691.2008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Karagiannis</w:t>
      </w:r>
      <w:proofErr w:type="spellEnd"/>
      <w:r w:rsidRPr="00A4357A">
        <w:rPr>
          <w:rFonts w:cstheme="minorHAnsi"/>
          <w:shd w:val="clear" w:color="auto" w:fill="FFFFFF"/>
        </w:rPr>
        <w:t xml:space="preserve">, A., </w:t>
      </w:r>
      <w:proofErr w:type="spellStart"/>
      <w:r w:rsidRPr="00A4357A">
        <w:rPr>
          <w:rFonts w:cstheme="minorHAnsi"/>
          <w:shd w:val="clear" w:color="auto" w:fill="FFFFFF"/>
        </w:rPr>
        <w:t>Gallopin</w:t>
      </w:r>
      <w:proofErr w:type="spellEnd"/>
      <w:r w:rsidRPr="00A4357A">
        <w:rPr>
          <w:rFonts w:cstheme="minorHAnsi"/>
          <w:shd w:val="clear" w:color="auto" w:fill="FFFFFF"/>
        </w:rPr>
        <w:t xml:space="preserve">, T., </w:t>
      </w:r>
      <w:proofErr w:type="spellStart"/>
      <w:r w:rsidRPr="00A4357A">
        <w:rPr>
          <w:rFonts w:cstheme="minorHAnsi"/>
          <w:shd w:val="clear" w:color="auto" w:fill="FFFFFF"/>
        </w:rPr>
        <w:t>Dávid</w:t>
      </w:r>
      <w:proofErr w:type="spellEnd"/>
      <w:r w:rsidRPr="00A4357A">
        <w:rPr>
          <w:rFonts w:cstheme="minorHAnsi"/>
          <w:shd w:val="clear" w:color="auto" w:fill="FFFFFF"/>
        </w:rPr>
        <w:t xml:space="preserve">, C., Battaglia, D., Geoffroy, H., </w:t>
      </w:r>
      <w:proofErr w:type="spellStart"/>
      <w:r w:rsidRPr="00A4357A">
        <w:rPr>
          <w:rFonts w:cstheme="minorHAnsi"/>
          <w:shd w:val="clear" w:color="auto" w:fill="FFFFFF"/>
        </w:rPr>
        <w:t>Rossier</w:t>
      </w:r>
      <w:proofErr w:type="spellEnd"/>
      <w:r w:rsidRPr="00A4357A">
        <w:rPr>
          <w:rFonts w:cstheme="minorHAnsi"/>
          <w:shd w:val="clear" w:color="auto" w:fill="FFFFFF"/>
        </w:rPr>
        <w:t xml:space="preserve">, J., ... Cauli, B. (2009). Classification of NPY-expressing neocortical interneurons. The Journal of Neuroscience, 29(11), 3642–3659. </w:t>
      </w:r>
      <w:hyperlink r:id="rId11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Ma, Y., Hu, H., </w:t>
      </w:r>
      <w:proofErr w:type="spellStart"/>
      <w:r w:rsidRPr="00A4357A">
        <w:rPr>
          <w:rFonts w:cstheme="minorHAnsi"/>
          <w:shd w:val="clear" w:color="auto" w:fill="FFFFFF"/>
        </w:rPr>
        <w:t>Berrebi</w:t>
      </w:r>
      <w:proofErr w:type="spellEnd"/>
      <w:r w:rsidRPr="00A4357A">
        <w:rPr>
          <w:rFonts w:cstheme="minorHAnsi"/>
          <w:shd w:val="clear" w:color="auto" w:fill="FFFFFF"/>
        </w:rPr>
        <w:t xml:space="preserve">, A. S., Mathers, P. H., &amp; </w:t>
      </w:r>
      <w:proofErr w:type="spellStart"/>
      <w:r w:rsidRPr="00A4357A">
        <w:rPr>
          <w:rFonts w:cstheme="minorHAnsi"/>
          <w:shd w:val="clear" w:color="auto" w:fill="FFFFFF"/>
        </w:rPr>
        <w:t>Agmon</w:t>
      </w:r>
      <w:proofErr w:type="spellEnd"/>
      <w:r w:rsidRPr="00A4357A">
        <w:rPr>
          <w:rFonts w:cstheme="minorHAnsi"/>
          <w:shd w:val="clear" w:color="auto" w:fill="FFFFFF"/>
        </w:rPr>
        <w:t>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/>
    <w:sectPr w:rsidR="000B455B" w:rsidSect="00A66C1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B484" w14:textId="77777777" w:rsidR="009F3392" w:rsidRDefault="009F3392" w:rsidP="00F67D54">
      <w:pPr>
        <w:spacing w:after="0" w:line="240" w:lineRule="auto"/>
      </w:pPr>
      <w:r>
        <w:separator/>
      </w:r>
    </w:p>
  </w:endnote>
  <w:endnote w:type="continuationSeparator" w:id="0">
    <w:p w14:paraId="05B7D46D" w14:textId="77777777" w:rsidR="009F3392" w:rsidRDefault="009F3392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1E37" w14:textId="77777777" w:rsidR="009F3392" w:rsidRDefault="009F3392" w:rsidP="00F67D54">
      <w:pPr>
        <w:spacing w:after="0" w:line="240" w:lineRule="auto"/>
      </w:pPr>
      <w:r>
        <w:separator/>
      </w:r>
    </w:p>
  </w:footnote>
  <w:footnote w:type="continuationSeparator" w:id="0">
    <w:p w14:paraId="224BA4F0" w14:textId="77777777" w:rsidR="009F3392" w:rsidRDefault="009F3392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567AE"/>
    <w:rsid w:val="000647C5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395CA5"/>
    <w:rsid w:val="004406A5"/>
    <w:rsid w:val="004823EA"/>
    <w:rsid w:val="004E10F7"/>
    <w:rsid w:val="005509EA"/>
    <w:rsid w:val="005861E9"/>
    <w:rsid w:val="00620735"/>
    <w:rsid w:val="00624351"/>
    <w:rsid w:val="006C3499"/>
    <w:rsid w:val="0078265A"/>
    <w:rsid w:val="00840A55"/>
    <w:rsid w:val="00867F79"/>
    <w:rsid w:val="009A1C48"/>
    <w:rsid w:val="009B1ABE"/>
    <w:rsid w:val="009D1682"/>
    <w:rsid w:val="009D5A49"/>
    <w:rsid w:val="009E7C13"/>
    <w:rsid w:val="009F3392"/>
    <w:rsid w:val="00A4357A"/>
    <w:rsid w:val="00A64CBA"/>
    <w:rsid w:val="00A66C15"/>
    <w:rsid w:val="00B3330A"/>
    <w:rsid w:val="00B71E24"/>
    <w:rsid w:val="00C44370"/>
    <w:rsid w:val="00CA61A7"/>
    <w:rsid w:val="00CB2EDC"/>
    <w:rsid w:val="00D44A5F"/>
    <w:rsid w:val="00E4298B"/>
    <w:rsid w:val="00EA2AF8"/>
    <w:rsid w:val="00EE3F9F"/>
    <w:rsid w:val="00EF05ED"/>
    <w:rsid w:val="00F211E3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JNEUROSCI.0058-09.20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52/jn.90691.20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271A-B045-485E-8740-F699C499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Nathaniel Opsal</cp:lastModifiedBy>
  <cp:revision>2</cp:revision>
  <dcterms:created xsi:type="dcterms:W3CDTF">2020-11-26T05:08:00Z</dcterms:created>
  <dcterms:modified xsi:type="dcterms:W3CDTF">2020-11-26T05:08:00Z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