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71412"/>
          <w:sz w:val="74"/>
        </w:rPr>
        <w:t>[APP_NAME] Target Audience Brief</w:t>
      </w:r>
    </w:p>
    <w:p>
      <w:r>
        <w:rPr>
          <w:color w:val="6B6B6B"/>
          <w:sz w:val="26"/>
        </w:rPr>
        <w:t xml:space="preserve">Status: </w:t>
      </w:r>
      <w:r>
        <w:rPr>
          <w:color w:val="3D3D3D"/>
          <w:sz w:val="26"/>
        </w:rPr>
        <w:t>Living document</w:t>
      </w:r>
      <w:r>
        <w:rPr>
          <w:color w:val="6B6B6B"/>
          <w:sz w:val="26"/>
        </w:rPr>
        <w:t xml:space="preserve">  |  Last updated: </w:t>
      </w:r>
      <w:r>
        <w:rPr>
          <w:color w:val="3D3D3D"/>
          <w:sz w:val="26"/>
        </w:rPr>
        <w:t>2026-03-17</w:t>
      </w:r>
      <w:r>
        <w:rPr>
          <w:color w:val="6B6B6B"/>
          <w:sz w:val="26"/>
        </w:rPr>
        <w:t xml:space="preserve">  |  Primary segment: </w:t>
      </w:r>
      <w:r>
        <w:rPr>
          <w:color w:val="3D3D3D"/>
          <w:sz w:val="26"/>
        </w:rPr>
        <w:t>Women 45+, US (Gen X / Early Boomer)</w:t>
      </w:r>
    </w:p>
    <w:p>
      <w:r>
        <w:rPr>
          <w:b w:val="0"/>
          <w:i w:val="0"/>
        </w:rPr>
      </w:r>
    </w:p>
    <w:p>
      <w:pPr>
        <w:pStyle w:val="Heading1"/>
      </w:pPr>
      <w:r>
        <w:t>The Opportunity</w:t>
      </w:r>
    </w:p>
    <w:p>
      <w:r>
        <w:rPr>
          <w:sz w:val="26"/>
        </w:rPr>
        <w:t xml:space="preserve">Current earn/reward apps are built for younger audiences — gamified mechanics, confusing point systems, hype-driven marketing. Women 45+ are massively underserved: </w:t>
      </w:r>
      <w:r>
        <w:rPr>
          <w:b/>
          <w:sz w:val="26"/>
        </w:rPr>
        <w:t>59% of adults 50+ say technology is not designed with their age group in mind</w:t>
      </w:r>
      <w:r>
        <w:rPr>
          <w:sz w:val="26"/>
        </w:rPr>
        <w:t xml:space="preserve"> (</w:t>
      </w:r>
      <w:hyperlink r:id="rId9">
        <w:r>
          <w:rPr>
            <w:color w:val="2563EB"/>
            <w:u w:val="single"/>
            <w:sz w:val="26"/>
          </w:rPr>
          <w:t>AARP Tech Trends, 2024</w:t>
        </w:r>
      </w:hyperlink>
      <w:r>
        <w:rPr>
          <w:sz w:val="26"/>
        </w:rPr>
        <w:t>).</w:t>
      </w:r>
    </w:p>
    <w:p>
      <w:r>
        <w:rPr>
          <w:sz w:val="26"/>
        </w:rPr>
        <w:t xml:space="preserve">They control </w:t>
      </w:r>
      <w:r>
        <w:rPr>
          <w:b/>
          <w:sz w:val="26"/>
        </w:rPr>
        <w:t>$15.2 trillion in global consumer spending</w:t>
      </w:r>
      <w:r>
        <w:rPr>
          <w:sz w:val="26"/>
        </w:rPr>
        <w:t xml:space="preserve"> as part of Gen X (</w:t>
      </w:r>
      <w:hyperlink r:id="rId10">
        <w:r>
          <w:rPr>
            <w:color w:val="2563EB"/>
            <w:u w:val="single"/>
            <w:sz w:val="26"/>
          </w:rPr>
          <w:t>NIQ / World Data Lab, 2025</w:t>
        </w:r>
      </w:hyperlink>
      <w:r>
        <w:rPr>
          <w:sz w:val="26"/>
        </w:rPr>
        <w:t xml:space="preserve">) and influence </w:t>
      </w:r>
      <w:r>
        <w:rPr>
          <w:b/>
          <w:sz w:val="26"/>
        </w:rPr>
        <w:t>70–80% of all consumer purchasing decisions</w:t>
      </w:r>
      <w:r>
        <w:rPr>
          <w:sz w:val="26"/>
        </w:rPr>
        <w:t xml:space="preserve"> (</w:t>
      </w:r>
      <w:hyperlink r:id="rId10">
        <w:r>
          <w:rPr>
            <w:color w:val="2563EB"/>
            <w:u w:val="single"/>
            <w:sz w:val="26"/>
          </w:rPr>
          <w:t>NIQ, 2025</w:t>
        </w:r>
      </w:hyperlink>
      <w:r>
        <w:rPr>
          <w:sz w:val="26"/>
        </w:rPr>
        <w:t xml:space="preserve">; originally </w:t>
      </w:r>
      <w:hyperlink r:id="rId11">
        <w:r>
          <w:rPr>
            <w:color w:val="2563EB"/>
            <w:u w:val="single"/>
            <w:sz w:val="26"/>
          </w:rPr>
          <w:t>BCG / Harvard Business Review, 2009</w:t>
        </w:r>
      </w:hyperlink>
      <w:r>
        <w:rPr>
          <w:sz w:val="26"/>
        </w:rPr>
        <w:t>). Few products are designed for them.</w:t>
      </w:r>
    </w:p>
    <w:p>
      <w:r>
        <w:rPr>
          <w:sz w:val="26"/>
        </w:rPr>
        <w:t xml:space="preserve">A product built on trust, simplicity, and practical value can win this audience — and once won, they stay and refer friends. </w:t>
      </w:r>
      <w:r>
        <w:rPr>
          <w:sz w:val="26"/>
        </w:rPr>
        <w:t>88% of consumers trust word-of-mouth recommendations above all other forms of advertising</w:t>
      </w:r>
      <w:r>
        <w:rPr>
          <w:sz w:val="26"/>
        </w:rPr>
        <w:t xml:space="preserve"> (</w:t>
      </w:r>
      <w:hyperlink r:id="rId12">
        <w:r>
          <w:rPr>
            <w:color w:val="2563EB"/>
            <w:u w:val="single"/>
            <w:sz w:val="26"/>
          </w:rPr>
          <w:t>Nielsen, 2021</w:t>
        </w:r>
      </w:hyperlink>
      <w:r>
        <w:rPr>
          <w:sz w:val="26"/>
        </w:rPr>
        <w:t>).</w:t>
      </w:r>
    </w:p>
    <w:p>
      <w:pPr>
        <w:pStyle w:val="Heading1"/>
      </w:pPr>
      <w:r>
        <w:t>Core Mindset</w:t>
      </w:r>
    </w:p>
    <w:p>
      <w:pPr>
        <w:pStyle w:val="Heading2"/>
      </w:pPr>
      <w:r>
        <w:t>Financial Reality</w:t>
      </w:r>
    </w:p>
    <w:p>
      <w:r>
        <w:rPr>
          <w:b w:val="0"/>
          <w:i w:val="0"/>
        </w:rPr>
        <w:t>This audience is financially cautious, not desperate. They feel the squeeze and want to ease it.</w:t>
      </w:r>
    </w:p>
    <w:p>
      <w:pPr>
        <w:pStyle w:val="Heading3"/>
      </w:pPr>
      <w:r>
        <w:t>Key signals</w:t>
      </w:r>
    </w:p>
    <w:p>
      <w:pPr>
        <w:pStyle w:val="ListBullet"/>
      </w:pPr>
      <w:r>
        <w:rPr>
          <w:sz w:val="30"/>
        </w:rPr>
        <w:t xml:space="preserve">65% of women rank personal finances as their top source of stress and anxiety — </w:t>
      </w:r>
      <w:hyperlink r:id="rId13">
        <w:r>
          <w:rPr>
            <w:color w:val="2563EB"/>
            <w:u w:val="single"/>
            <w:sz w:val="26"/>
          </w:rPr>
          <w:t>Laurel Road / HarrisX, 8th Annual Women's Financial Survey (2025)</w:t>
        </w:r>
      </w:hyperlink>
    </w:p>
    <w:p>
      <w:pPr>
        <w:pStyle w:val="ListBullet"/>
      </w:pPr>
      <w:r>
        <w:rPr>
          <w:sz w:val="30"/>
        </w:rPr>
        <w:t xml:space="preserve">62% of women aged 50–64 say their personal finances are falling short of expectations — </w:t>
      </w:r>
      <w:hyperlink r:id="rId14">
        <w:r>
          <w:rPr>
            <w:color w:val="2563EB"/>
            <w:u w:val="single"/>
            <w:sz w:val="26"/>
          </w:rPr>
          <w:t>AARP, "She's the Difference" Financial Security Survey (Dec 2025)</w:t>
        </w:r>
      </w:hyperlink>
    </w:p>
    <w:p>
      <w:pPr>
        <w:pStyle w:val="ListBullet"/>
      </w:pPr>
      <w:r>
        <w:rPr>
          <w:sz w:val="30"/>
        </w:rPr>
        <w:t xml:space="preserve">51% of women 50+ feel less financially secure than a year ago — </w:t>
      </w:r>
      <w:hyperlink r:id="rId15">
        <w:r>
          <w:rPr>
            <w:color w:val="2563EB"/>
            <w:u w:val="single"/>
            <w:sz w:val="26"/>
          </w:rPr>
          <w:t>AARP, "She's the Difference" Financial Security Survey (Dec 2025)</w:t>
        </w:r>
      </w:hyperlink>
    </w:p>
    <w:p>
      <w:pPr>
        <w:pStyle w:val="ListBullet"/>
      </w:pPr>
      <w:r>
        <w:rPr>
          <w:sz w:val="30"/>
        </w:rPr>
        <w:t xml:space="preserve">65% of Gen X women worry about running out of money in retirement — </w:t>
      </w:r>
      <w:hyperlink r:id="rId16">
        <w:r>
          <w:rPr>
            <w:color w:val="2563EB"/>
            <w:u w:val="single"/>
            <w:sz w:val="26"/>
          </w:rPr>
          <w:t>Allianz Life, 2025 Women Money Power Study (Sep 2025)</w:t>
        </w:r>
      </w:hyperlink>
    </w:p>
    <w:p>
      <w:pPr>
        <w:pStyle w:val="ListBullet"/>
      </w:pPr>
      <w:r>
        <w:rPr>
          <w:sz w:val="30"/>
        </w:rPr>
        <w:t xml:space="preserve">37% of Americans cannot cover a $400 emergency expense with cash — </w:t>
      </w:r>
      <w:hyperlink r:id="rId17">
        <w:r>
          <w:rPr>
            <w:color w:val="2563EB"/>
            <w:u w:val="single"/>
            <w:sz w:val="26"/>
          </w:rPr>
          <w:t>Federal Reserve Board, SHED (2024, published May 2025)</w:t>
        </w:r>
      </w:hyperlink>
    </w:p>
    <w:p>
      <w:r>
        <w:rPr>
          <w:b w:val="0"/>
          <w:i w:val="0"/>
        </w:rPr>
        <w:t>They are not looking for a "side hustle." They want small, reliable ways to ease everyday financial pressure — covering bills, handling unexpected expenses, stretching household budgets, feeling productive with their time.</w:t>
      </w:r>
    </w:p>
    <w:p>
      <w:pPr>
        <w:pStyle w:val="Heading2"/>
      </w:pPr>
      <w:r>
        <w:t>Behavioral Profile</w:t>
      </w:r>
    </w:p>
    <w:p>
      <w:pPr>
        <w:pStyle w:val="Heading3"/>
      </w:pPr>
      <w:r>
        <w:t>Daily Lifestyle Patterns</w:t>
      </w:r>
    </w:p>
    <w:p>
      <w:r>
        <w:rPr>
          <w:b w:val="0"/>
          <w:i w:val="0"/>
        </w:rPr>
        <w:t>Usage tends to occur during calm, routine moments in short bursts.</w:t>
      </w:r>
    </w:p>
    <w:p>
      <w:r>
        <w:rPr>
          <w:b/>
          <w:sz w:val="26"/>
        </w:rPr>
        <w:t xml:space="preserve">Morning: </w:t>
      </w:r>
      <w:r>
        <w:rPr>
          <w:sz w:val="26"/>
        </w:rPr>
        <w:t>7–9 AM (coffee routine)</w:t>
        <w:br/>
      </w:r>
      <w:r>
        <w:rPr>
          <w:b/>
          <w:sz w:val="26"/>
        </w:rPr>
        <w:t xml:space="preserve">Early afternoon: </w:t>
      </w:r>
      <w:r>
        <w:rPr>
          <w:sz w:val="26"/>
        </w:rPr>
        <w:t>12–2 PM (lunch break)</w:t>
        <w:br/>
      </w:r>
      <w:r>
        <w:rPr>
          <w:b/>
          <w:sz w:val="26"/>
        </w:rPr>
        <w:t xml:space="preserve">Evening: </w:t>
      </w:r>
      <w:r>
        <w:rPr>
          <w:sz w:val="26"/>
        </w:rPr>
        <w:t>8–10 PM (wind-down)</w:t>
        <w:br/>
      </w:r>
    </w:p>
    <w:p>
      <w:r>
        <w:rPr>
          <w:b w:val="0"/>
          <w:i w:val="0"/>
        </w:rPr>
        <w:t>Task tolerance: 5–10 minute activities. Simple micro-tasks. Clear value exchange.</w:t>
      </w:r>
    </w:p>
    <w:p>
      <w:r>
        <w:rPr>
          <w:i/>
          <w:color w:val="6B6B6B"/>
          <w:sz w:val="26"/>
        </w:rPr>
        <w:t>Note: These usage patterns are based on general behavioral research and internal product assumptions. Validate through in-app analytics post-launch.</w:t>
      </w:r>
    </w:p>
    <w:p>
      <w:pPr>
        <w:pStyle w:val="Heading1"/>
      </w:pPr>
      <w:r>
        <w:t>Technology &amp; App Behavior</w:t>
      </w:r>
    </w:p>
    <w:p>
      <w:pPr>
        <w:pStyle w:val="Heading2"/>
      </w:pPr>
      <w:r>
        <w:t>Smartphone Ownership</w:t>
      </w:r>
    </w:p>
    <w:p>
      <w:pPr>
        <w:pStyle w:val="ListBullet"/>
      </w:pPr>
      <w:r>
        <w:rPr>
          <w:sz w:val="30"/>
        </w:rPr>
        <w:t xml:space="preserve">91% of adults 50+ own a smartphone — </w:t>
      </w:r>
      <w:hyperlink r:id="rId9">
        <w:r>
          <w:rPr>
            <w:color w:val="2563EB"/>
            <w:u w:val="single"/>
            <w:sz w:val="26"/>
          </w:rPr>
          <w:t>AARP, 2024 Technology Trends for Adults 50+</w:t>
        </w:r>
      </w:hyperlink>
    </w:p>
    <w:p>
      <w:pPr>
        <w:pStyle w:val="ListBullet"/>
      </w:pPr>
      <w:r>
        <w:rPr>
          <w:sz w:val="30"/>
        </w:rPr>
        <w:t xml:space="preserve">90% of adults aged 50–64 own a smartphone; 78% of adults 65+ do — </w:t>
      </w:r>
      <w:hyperlink r:id="rId18">
        <w:r>
          <w:rPr>
            <w:color w:val="2563EB"/>
            <w:u w:val="single"/>
            <w:sz w:val="26"/>
          </w:rPr>
          <w:t>Pew Research Center, Americans' Use of Mobile Technology (Jan 2024)</w:t>
        </w:r>
      </w:hyperlink>
    </w:p>
    <w:p>
      <w:r>
        <w:rPr>
          <w:b w:val="0"/>
          <w:i w:val="0"/>
        </w:rPr>
        <w:t>Women 45+ are active smartphone users who favor practical, utility-focused apps: banking, shopping, health, streaming, and casual puzzle games.</w:t>
      </w:r>
    </w:p>
    <w:p>
      <w:pPr>
        <w:pStyle w:val="Heading2"/>
      </w:pPr>
      <w:r>
        <w:t>Social Media Platforms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26"/>
              </w:rPr>
              <w:t>Platform</w:t>
            </w:r>
          </w:p>
        </w:tc>
        <w:tc>
          <w:tcPr>
            <w:tcW w:type="dxa" w:w="3024"/>
          </w:tcPr>
          <w:p>
            <w:r>
              <w:rPr>
                <w:b/>
                <w:sz w:val="26"/>
              </w:rPr>
              <w:t>Adoption (50–64 / 65+)</w:t>
            </w:r>
          </w:p>
        </w:tc>
        <w:tc>
          <w:tcPr>
            <w:tcW w:type="dxa" w:w="3024"/>
          </w:tcPr>
          <w:p>
            <w:r>
              <w:rPr>
                <w:b/>
                <w:sz w:val="26"/>
              </w:rPr>
              <w:t>Key Role</w:t>
            </w:r>
          </w:p>
        </w:tc>
      </w:tr>
      <w:tr>
        <w:tc>
          <w:tcPr>
            <w:tcW w:type="dxa" w:w="3024"/>
          </w:tcPr>
          <w:p>
            <w:r>
              <w:rPr>
                <w:sz w:val="26"/>
              </w:rPr>
              <w:t>Facebook</w:t>
            </w:r>
          </w:p>
        </w:tc>
        <w:tc>
          <w:tcPr>
            <w:tcW w:type="dxa" w:w="3024"/>
          </w:tcPr>
          <w:p>
            <w:r>
              <w:rPr>
                <w:sz w:val="26"/>
              </w:rPr>
              <w:t>74% / 57%</w:t>
            </w:r>
          </w:p>
        </w:tc>
        <w:tc>
          <w:tcPr>
            <w:tcW w:type="dxa" w:w="3024"/>
          </w:tcPr>
          <w:p>
            <w:r>
              <w:rPr>
                <w:sz w:val="26"/>
              </w:rPr>
              <w:t>Primary discovery &amp; community</w:t>
            </w:r>
          </w:p>
        </w:tc>
      </w:tr>
      <w:tr>
        <w:tc>
          <w:tcPr>
            <w:tcW w:type="dxa" w:w="3024"/>
          </w:tcPr>
          <w:p>
            <w:r>
              <w:rPr>
                <w:sz w:val="26"/>
              </w:rPr>
              <w:t>YouTube</w:t>
            </w:r>
          </w:p>
        </w:tc>
        <w:tc>
          <w:tcPr>
            <w:tcW w:type="dxa" w:w="3024"/>
          </w:tcPr>
          <w:p>
            <w:r>
              <w:rPr>
                <w:sz w:val="26"/>
              </w:rPr>
              <w:t>85% / 64%</w:t>
            </w:r>
          </w:p>
        </w:tc>
        <w:tc>
          <w:tcPr>
            <w:tcW w:type="dxa" w:w="3024"/>
          </w:tcPr>
          <w:p>
            <w:r>
              <w:rPr>
                <w:sz w:val="26"/>
              </w:rPr>
              <w:t>Tutorials, reviews, entertainment</w:t>
            </w:r>
          </w:p>
        </w:tc>
      </w:tr>
      <w:tr>
        <w:tc>
          <w:tcPr>
            <w:tcW w:type="dxa" w:w="3024"/>
          </w:tcPr>
          <w:p>
            <w:r>
              <w:rPr>
                <w:sz w:val="26"/>
              </w:rPr>
              <w:t>Instagram</w:t>
            </w:r>
          </w:p>
        </w:tc>
        <w:tc>
          <w:tcPr>
            <w:tcW w:type="dxa" w:w="3024"/>
          </w:tcPr>
          <w:p>
            <w:r>
              <w:rPr>
                <w:sz w:val="26"/>
              </w:rPr>
              <w:t>40% / 19%</w:t>
            </w:r>
          </w:p>
        </w:tc>
        <w:tc>
          <w:tcPr>
            <w:tcW w:type="dxa" w:w="3024"/>
          </w:tcPr>
          <w:p>
            <w:r>
              <w:rPr>
                <w:sz w:val="26"/>
              </w:rPr>
              <w:t>Secondary inspiration</w:t>
            </w:r>
          </w:p>
        </w:tc>
      </w:tr>
      <w:tr>
        <w:tc>
          <w:tcPr>
            <w:tcW w:type="dxa" w:w="3024"/>
          </w:tcPr>
          <w:p>
            <w:r>
              <w:rPr>
                <w:sz w:val="26"/>
              </w:rPr>
              <w:t>TikTok</w:t>
            </w:r>
          </w:p>
        </w:tc>
        <w:tc>
          <w:tcPr>
            <w:tcW w:type="dxa" w:w="3024"/>
          </w:tcPr>
          <w:p>
            <w:r>
              <w:rPr>
                <w:sz w:val="26"/>
              </w:rPr>
              <w:t>30% / ~15%</w:t>
            </w:r>
          </w:p>
        </w:tc>
        <w:tc>
          <w:tcPr>
            <w:tcW w:type="dxa" w:w="3024"/>
          </w:tcPr>
          <w:p>
            <w:r>
              <w:rPr>
                <w:sz w:val="26"/>
              </w:rPr>
              <w:t>Growing but less dominant</w:t>
            </w:r>
          </w:p>
        </w:tc>
      </w:tr>
      <w:tr>
        <w:tc>
          <w:tcPr>
            <w:tcW w:type="dxa" w:w="3024"/>
          </w:tcPr>
          <w:p>
            <w:r>
              <w:rPr>
                <w:sz w:val="26"/>
              </w:rPr>
              <w:t>Pinterest</w:t>
            </w:r>
          </w:p>
        </w:tc>
        <w:tc>
          <w:tcPr>
            <w:tcW w:type="dxa" w:w="3024"/>
          </w:tcPr>
          <w:p>
            <w:r>
              <w:rPr>
                <w:sz w:val="26"/>
              </w:rPr>
              <w:t>~35% / 22%</w:t>
            </w:r>
          </w:p>
        </w:tc>
        <w:tc>
          <w:tcPr>
            <w:tcW w:type="dxa" w:w="3024"/>
          </w:tcPr>
          <w:p>
            <w:r>
              <w:rPr>
                <w:sz w:val="26"/>
              </w:rPr>
              <w:t>Shopping &amp; lifestyle ideas</w:t>
            </w:r>
          </w:p>
        </w:tc>
      </w:tr>
    </w:tbl>
    <w:p>
      <w:r>
        <w:rPr>
          <w:sz w:val="26"/>
        </w:rPr>
        <w:br/>
        <w:t xml:space="preserve">Source: </w:t>
      </w:r>
      <w:hyperlink r:id="rId19">
        <w:r>
          <w:rPr>
            <w:color w:val="2563EB"/>
            <w:u w:val="single"/>
            <w:sz w:val="26"/>
          </w:rPr>
          <w:t>Pew Research Center, Americans' Social Media Use (2025)</w:t>
        </w:r>
      </w:hyperlink>
    </w:p>
    <w:p>
      <w:pPr>
        <w:pStyle w:val="Heading1"/>
      </w:pPr>
      <w:r>
        <w:t>Entertainment &amp; Game Preferences</w:t>
      </w:r>
    </w:p>
    <w:p>
      <w:r>
        <w:rPr>
          <w:sz w:val="26"/>
        </w:rPr>
        <w:t xml:space="preserve">This audience enjoys casual cognitive games, not fast-paced competitive gaming. Among gamers 50+, </w:t>
      </w:r>
      <w:r>
        <w:rPr>
          <w:b/>
          <w:sz w:val="26"/>
        </w:rPr>
        <w:t>women game daily at a higher rate than men (52% vs. 37%)</w:t>
      </w:r>
      <w:r>
        <w:rPr>
          <w:sz w:val="26"/>
        </w:rPr>
        <w:t xml:space="preserve"> and 84% play on smartphones.</w:t>
      </w:r>
    </w:p>
    <w:p>
      <w:pPr>
        <w:pStyle w:val="Heading3"/>
      </w:pPr>
      <w:r>
        <w:t>Popular genres among gamers 50+</w:t>
      </w:r>
    </w:p>
    <w:p>
      <w:pPr>
        <w:pStyle w:val="ListBullet"/>
      </w:pPr>
      <w:r>
        <w:rPr>
          <w:sz w:val="26"/>
        </w:rPr>
        <w:t>Puzzle/logic games — 73%</w:t>
      </w:r>
    </w:p>
    <w:p>
      <w:pPr>
        <w:pStyle w:val="ListBullet"/>
      </w:pPr>
      <w:r>
        <w:rPr>
          <w:sz w:val="26"/>
        </w:rPr>
        <w:t>Card/tile games — 69%</w:t>
      </w:r>
    </w:p>
    <w:p>
      <w:pPr>
        <w:pStyle w:val="ListBullet"/>
      </w:pPr>
      <w:r>
        <w:rPr>
          <w:sz w:val="26"/>
        </w:rPr>
        <w:t>Word games — 58%</w:t>
      </w:r>
    </w:p>
    <w:p>
      <w:pPr>
        <w:pStyle w:val="ListBullet"/>
      </w:pPr>
      <w:r>
        <w:rPr>
          <w:sz w:val="26"/>
        </w:rPr>
        <w:t>Brain training — 37%</w:t>
      </w:r>
    </w:p>
    <w:p>
      <w:pPr>
        <w:pStyle w:val="ListBullet"/>
      </w:pPr>
      <w:r>
        <w:rPr>
          <w:sz w:val="26"/>
        </w:rPr>
        <w:t>Trivia/board games — 32%</w:t>
      </w:r>
    </w:p>
    <w:p>
      <w:r>
        <w:rPr>
          <w:sz w:val="26"/>
        </w:rPr>
        <w:t xml:space="preserve">Source: </w:t>
      </w:r>
      <w:hyperlink r:id="rId20">
        <w:r>
          <w:rPr>
            <w:color w:val="2563EB"/>
            <w:u w:val="single"/>
            <w:sz w:val="26"/>
          </w:rPr>
          <w:t>AARP, "2023 Gamers 50+" (Apr 2023)</w:t>
        </w:r>
      </w:hyperlink>
    </w:p>
    <w:p>
      <w:r>
        <w:rPr>
          <w:b w:val="0"/>
          <w:i w:val="0"/>
        </w:rPr>
        <w:t>Popular specific titles include Candy Crush and Solitaire (directly named in research). Words With Friends and Sudoku are consistent with genre preferences but not individually cited.</w:t>
      </w:r>
    </w:p>
    <w:p>
      <w:r>
        <w:rPr>
          <w:sz w:val="26"/>
        </w:rPr>
        <w:t xml:space="preserve">Source: </w:t>
      </w:r>
      <w:hyperlink r:id="rId21">
        <w:r>
          <w:rPr>
            <w:color w:val="2563EB"/>
            <w:u w:val="single"/>
            <w:sz w:val="26"/>
          </w:rPr>
          <w:t>AARP, Gaming Trends Among Older Americans (2020)</w:t>
        </w:r>
      </w:hyperlink>
    </w:p>
    <w:p>
      <w:r>
        <w:rPr>
          <w:sz w:val="26"/>
        </w:rPr>
        <w:t xml:space="preserve">Supporting: Among Boomers, 73% prefer puzzle games and 55% prefer skill/chance games. 52% of Boomer women play video games vs. 46% of Boomer men. — </w:t>
      </w:r>
      <w:hyperlink r:id="rId22">
        <w:r>
          <w:rPr>
            <w:color w:val="2563EB"/>
            <w:u w:val="single"/>
            <w:sz w:val="26"/>
          </w:rPr>
          <w:t>ESA, Essential Facts (2025)</w:t>
        </w:r>
      </w:hyperlink>
    </w:p>
    <w:p>
      <w:pPr>
        <w:pStyle w:val="Heading1"/>
      </w:pPr>
      <w:r>
        <w:t>Earn App Engagement</w:t>
      </w:r>
    </w:p>
    <w:p>
      <w:pPr>
        <w:pStyle w:val="Heading2"/>
      </w:pPr>
      <w:r>
        <w:t>Tasks That Work Well</w:t>
      </w:r>
    </w:p>
    <w:p>
      <w:r>
        <w:rPr>
          <w:b w:val="0"/>
          <w:i w:val="0"/>
        </w:rPr>
        <w:t>High-performing earning activities include receipt scanning for cashback, surveys with clear time/value exchange, shopping cashback, simple watch-to-earn content, and daily check-ins or streak bonuses.</w:t>
      </w:r>
    </w:p>
    <w:p>
      <w:r>
        <w:rPr>
          <w:i/>
          <w:color w:val="6B6B6B"/>
          <w:sz w:val="26"/>
        </w:rPr>
        <w:t>Note: These are based on industry patterns from earn/reward platforms (Swagbucks, Ibotta, InboxDollars) and internal product analysis. No credible public research breaks down earn-activity performance by age or gender for this specific demographic.</w:t>
      </w:r>
    </w:p>
    <w:p>
      <w:r>
        <w:rPr>
          <w:sz w:val="26"/>
        </w:rPr>
        <w:t xml:space="preserve">Gamification works best for this audience when it resembles casual routines and progress tracking, not competitive gameplay. Research on gamification for older adults finds the most effective elements are goal-setting, progress bars, rewards, points, and feedback — not leaderboards or competition. — </w:t>
      </w:r>
      <w:hyperlink r:id="rId23">
        <w:r>
          <w:rPr>
            <w:color w:val="2563EB"/>
            <w:u w:val="single"/>
            <w:sz w:val="26"/>
          </w:rPr>
          <w:t>Kappen et al., The Gerontologist (2021)</w:t>
        </w:r>
      </w:hyperlink>
    </w:p>
    <w:p>
      <w:r>
        <w:rPr>
          <w:sz w:val="26"/>
        </w:rPr>
        <w:t xml:space="preserve">Supporting: Leaderboards reduce social engagement among women regardless of competitive orientation. — </w:t>
      </w:r>
      <w:hyperlink r:id="rId24">
        <w:r>
          <w:rPr>
            <w:color w:val="2563EB"/>
            <w:u w:val="single"/>
            <w:sz w:val="26"/>
          </w:rPr>
          <w:t>Altmeyer et al., J. Computing in Higher Education (2025)</w:t>
        </w:r>
      </w:hyperlink>
    </w:p>
    <w:p>
      <w:pPr>
        <w:pStyle w:val="Heading2"/>
      </w:pPr>
      <w:r>
        <w:t>Key Motivational Drivers</w:t>
      </w:r>
    </w:p>
    <w:p>
      <w:r>
        <w:rPr>
          <w:b/>
          <w:i w:val="0"/>
        </w:rPr>
        <w:t>1. Financial Relief</w:t>
      </w:r>
    </w:p>
    <w:p>
      <w:r>
        <w:rPr>
          <w:sz w:val="26"/>
        </w:rPr>
        <w:t xml:space="preserve">Small earnings feel meaningful when framed as helping with everyday costs. This demographic strongly prefers clear monetary value — dollar balances and gift cards over complex point systems. Boomers and Gen X favor cash-back redemption at higher rates than younger cohorts. — </w:t>
      </w:r>
      <w:hyperlink r:id="rId25">
        <w:r>
          <w:rPr>
            <w:color w:val="2563EB"/>
            <w:u w:val="single"/>
            <w:sz w:val="26"/>
          </w:rPr>
          <w:t>Bankrate, Credit Card Rewards Survey (Nov 2024)</w:t>
        </w:r>
      </w:hyperlink>
    </w:p>
    <w:p>
      <w:r>
        <w:rPr>
          <w:b w:val="0"/>
          <w:i w:val="0"/>
        </w:rPr>
        <w:t>Effective: Dollar balances, gift cards, instant cashback.</w:t>
        <w:br/>
        <w:t>Ineffective: Complex point systems, hidden reward tiers, long redemption delays.</w:t>
      </w:r>
    </w:p>
    <w:p>
      <w:r>
        <w:rPr>
          <w:b/>
          <w:i w:val="0"/>
        </w:rPr>
        <w:t>2. Productive Use of Time</w:t>
      </w:r>
    </w:p>
    <w:p>
      <w:r>
        <w:rPr>
          <w:b w:val="0"/>
          <w:i w:val="0"/>
        </w:rPr>
        <w:t>Many are entering new life stages (empty nest, career shifts, retirement planning). Earning through an app provides a sense of productivity and control.</w:t>
      </w:r>
    </w:p>
    <w:p>
      <w:r>
        <w:rPr>
          <w:b/>
          <w:i w:val="0"/>
        </w:rPr>
        <w:t>3. Tangible Rewards</w:t>
      </w:r>
    </w:p>
    <w:p>
      <w:r>
        <w:rPr>
          <w:b w:val="0"/>
          <w:i w:val="0"/>
        </w:rPr>
        <w:t>Frame everything around what she earned, not what she saved. This is not a coupon app, a deals platform, or a shopping companion. We pay people for their time and attention.</w:t>
      </w:r>
    </w:p>
    <w:p>
      <w:pPr>
        <w:pStyle w:val="Heading1"/>
      </w:pPr>
      <w:r>
        <w:t>Trust &amp; Security</w:t>
      </w:r>
    </w:p>
    <w:p>
      <w:r>
        <w:rPr>
          <w:b/>
          <w:i w:val="0"/>
        </w:rPr>
        <w:t>Trust is the single biggest adoption barrier.</w:t>
      </w:r>
    </w:p>
    <w:p>
      <w:pPr>
        <w:pStyle w:val="ListBullet"/>
      </w:pPr>
      <w:r>
        <w:rPr>
          <w:sz w:val="30"/>
        </w:rPr>
        <w:t xml:space="preserve">81% of adults 50+ believe scams and fraud have reached "crisis" level. 91% recognize fraud can happen to anyone — </w:t>
      </w:r>
      <w:hyperlink r:id="rId26">
        <w:r>
          <w:rPr>
            <w:color w:val="2563EB"/>
            <w:u w:val="single"/>
            <w:sz w:val="26"/>
          </w:rPr>
          <w:t>AARP, Fraud Awareness Report (2024)</w:t>
        </w:r>
      </w:hyperlink>
    </w:p>
    <w:p>
      <w:pPr>
        <w:pStyle w:val="ListBullet"/>
      </w:pPr>
      <w:r>
        <w:rPr>
          <w:sz w:val="30"/>
        </w:rPr>
        <w:t xml:space="preserve">Fraud losses reported by adults 60+ increased fourfold from ~$600M in 2020 to $2.4B in 2024. Adults 60+ are 5x more likely to lose money to tech support scams — </w:t>
      </w:r>
      <w:hyperlink r:id="rId27">
        <w:r>
          <w:rPr>
            <w:color w:val="2563EB"/>
            <w:u w:val="single"/>
            <w:sz w:val="26"/>
          </w:rPr>
          <w:t>FTC, "Protecting Older Consumers 2024–2025" (Dec 2025)</w:t>
        </w:r>
      </w:hyperlink>
    </w:p>
    <w:p>
      <w:pPr>
        <w:pStyle w:val="Heading3"/>
      </w:pPr>
      <w:r>
        <w:t>Signals that cause immediate drop-off</w:t>
      </w:r>
    </w:p>
    <w:p>
      <w:r>
        <w:rPr>
          <w:b w:val="0"/>
          <w:i w:val="0"/>
        </w:rPr>
        <w:t>Unrealistic earning claims, aggressive notifications, countdown timers, confusing reward structures, poor visual design, hidden terms.</w:t>
      </w:r>
    </w:p>
    <w:p>
      <w:r>
        <w:rPr>
          <w:sz w:val="26"/>
        </w:rPr>
        <w:t xml:space="preserve">Source: FTC documents these as manipulative design patterns causing consumer harm. — </w:t>
      </w:r>
      <w:hyperlink r:id="rId28">
        <w:r>
          <w:rPr>
            <w:color w:val="2563EB"/>
            <w:u w:val="single"/>
            <w:sz w:val="26"/>
          </w:rPr>
          <w:t>FTC, "Bringing Dark Patterns to Light" (Sep 2022)</w:t>
        </w:r>
      </w:hyperlink>
    </w:p>
    <w:p>
      <w:pPr>
        <w:pStyle w:val="Heading3"/>
      </w:pPr>
      <w:r>
        <w:t>Trust-building mechanisms</w:t>
      </w:r>
    </w:p>
    <w:p>
      <w:r>
        <w:rPr>
          <w:b w:val="0"/>
          <w:i w:val="0"/>
        </w:rPr>
        <w:t>Transparent earning mechanics, clear privacy explanations, professional design, real testimonials, accessible customer support.</w:t>
      </w:r>
    </w:p>
    <w:p>
      <w:r>
        <w:rPr>
          <w:b/>
          <w:i w:val="0"/>
        </w:rPr>
        <w:t>If the app feels suspicious, users will leave immediately and not return.</w:t>
      </w:r>
    </w:p>
    <w:p>
      <w:pPr>
        <w:pStyle w:val="Heading1"/>
      </w:pPr>
      <w:r>
        <w:t>Design Principles</w:t>
      </w:r>
    </w:p>
    <w:p>
      <w:pPr>
        <w:pStyle w:val="Heading2"/>
      </w:pPr>
      <w:r>
        <w:t>Simplicity First</w:t>
      </w:r>
    </w:p>
    <w:p>
      <w:r>
        <w:rPr>
          <w:b w:val="0"/>
          <w:i w:val="0"/>
        </w:rPr>
        <w:t>Low cognitive load is essential. This audience prefers simple, predictable, and useful interfaces over flashy or heavily gamified ones.</w:t>
      </w:r>
    </w:p>
    <w:p>
      <w:r>
        <w:rPr>
          <w:b w:val="0"/>
          <w:i w:val="0"/>
        </w:rPr>
        <w:t>Design guidelines: Clear navigation, large typography, visible reward amounts, short task flows, tutorials when needed.</w:t>
      </w:r>
    </w:p>
    <w:p>
      <w:r>
        <w:rPr>
          <w:sz w:val="26"/>
        </w:rPr>
        <w:t xml:space="preserve">Source: </w:t>
      </w:r>
      <w:hyperlink r:id="rId29">
        <w:r>
          <w:rPr>
            <w:color w:val="2563EB"/>
            <w:u w:val="single"/>
            <w:sz w:val="26"/>
          </w:rPr>
          <w:t>Nielsen Norman Group, Usability for Senior Citizens</w:t>
        </w:r>
      </w:hyperlink>
      <w:r>
        <w:rPr>
          <w:sz w:val="26"/>
        </w:rPr>
        <w:t xml:space="preserve"> — 87 design guidelines emphasizing predictable layouts, minimum 14pt font, and consistent interactions.</w:t>
      </w:r>
    </w:p>
    <w:p>
      <w:r>
        <w:rPr>
          <w:sz w:val="26"/>
        </w:rPr>
        <w:t xml:space="preserve">Supporting: Reducing interface complexity helps older adults find features as quickly as younger adults. — </w:t>
      </w:r>
      <w:hyperlink r:id="rId30">
        <w:r>
          <w:rPr>
            <w:color w:val="2563EB"/>
            <w:u w:val="single"/>
            <w:sz w:val="26"/>
          </w:rPr>
          <w:t>ACM CHI 2024</w:t>
        </w:r>
      </w:hyperlink>
    </w:p>
    <w:p>
      <w:pPr>
        <w:pStyle w:val="Heading1"/>
      </w:pPr>
      <w:r>
        <w:t>Habit &amp; Retention Mechanics</w:t>
      </w:r>
    </w:p>
    <w:p>
      <w:r>
        <w:rPr>
          <w:b w:val="0"/>
          <w:i w:val="0"/>
        </w:rPr>
        <w:t>This audience responds strongly to routine-based engagement loops.</w:t>
      </w:r>
    </w:p>
    <w:p>
      <w:r>
        <w:rPr>
          <w:b w:val="0"/>
          <w:i w:val="0"/>
        </w:rPr>
        <w:t>Effective patterns: Daily check-in bonuses, streak rewards, weekly earning summaries, seasonal reward campaigns.</w:t>
      </w:r>
    </w:p>
    <w:p>
      <w:r>
        <w:rPr>
          <w:i/>
          <w:color w:val="6B6B6B"/>
          <w:sz w:val="26"/>
        </w:rPr>
        <w:t>Note: These are product design principles based on general retention research and industry patterns. No credible public source validates these specific mechanics for women 45+ in earn/reward apps. Validate through A/B testing post-launch.</w:t>
      </w:r>
    </w:p>
    <w:p>
      <w:r>
        <w:rPr>
          <w:sz w:val="26"/>
        </w:rPr>
        <w:t xml:space="preserve">Women score higher on collaborative, social, and care-taking gamification types; men score higher on achiever and competitive types. — </w:t>
      </w:r>
      <w:hyperlink r:id="rId31">
        <w:r>
          <w:rPr>
            <w:color w:val="2563EB"/>
            <w:u w:val="single"/>
            <w:sz w:val="26"/>
          </w:rPr>
          <w:t>Tondello et al., Intl Journal of Human-Computer Interaction (2024)</w:t>
        </w:r>
      </w:hyperlink>
    </w:p>
    <w:p>
      <w:pPr>
        <w:pStyle w:val="Heading1"/>
      </w:pPr>
      <w:r>
        <w:t>Social &amp; Community</w:t>
      </w:r>
    </w:p>
    <w:p>
      <w:r>
        <w:rPr>
          <w:b w:val="0"/>
          <w:i w:val="0"/>
        </w:rPr>
        <w:t>They prefer trusted circles over public competition.</w:t>
      </w:r>
    </w:p>
    <w:p>
      <w:r>
        <w:rPr>
          <w:b w:val="0"/>
          <w:i w:val="0"/>
        </w:rPr>
        <w:t>Effective: Referral rewards, share deals with friends, small trusted communities.</w:t>
        <w:br/>
        <w:t>Ineffective: Leaderboards, competitive rankings, public bragging mechanics.</w:t>
      </w:r>
    </w:p>
    <w:p>
      <w:r>
        <w:rPr>
          <w:sz w:val="26"/>
        </w:rPr>
        <w:t xml:space="preserve">88% of consumers trust recommendations from people they know above all other forms of advertising. — </w:t>
      </w:r>
      <w:hyperlink r:id="rId12">
        <w:r>
          <w:rPr>
            <w:color w:val="2563EB"/>
            <w:u w:val="single"/>
            <w:sz w:val="26"/>
          </w:rPr>
          <w:t>Nielsen, Global Trust in Advertising (2021)</w:t>
        </w:r>
      </w:hyperlink>
    </w:p>
    <w:p>
      <w:r>
        <w:rPr>
          <w:sz w:val="26"/>
        </w:rPr>
        <w:t xml:space="preserve">Among adults 50+, 17% cite recommendations from friends and family as the primary factor when deciding what to buy. — </w:t>
      </w:r>
      <w:hyperlink r:id="rId32">
        <w:r>
          <w:rPr>
            <w:color w:val="2563EB"/>
            <w:u w:val="single"/>
            <w:sz w:val="26"/>
          </w:rPr>
          <w:t>AARP, 2023 Technology Trends for Adults 50+</w:t>
        </w:r>
      </w:hyperlink>
    </w:p>
    <w:p>
      <w:pPr>
        <w:pStyle w:val="Heading1"/>
      </w:pPr>
      <w:r>
        <w:t>Brand Positioning</w:t>
      </w:r>
    </w:p>
    <w:p>
      <w:r>
        <w:rPr>
          <w:b w:val="0"/>
          <w:i w:val="0"/>
        </w:rPr>
        <w:t>The brand must feel trustworthy, competent, respectful, practical, calm, and professional.</w:t>
      </w:r>
    </w:p>
    <w:p>
      <w:r>
        <w:rPr>
          <w:b w:val="0"/>
          <w:i w:val="0"/>
        </w:rPr>
        <w:t>Messaging should frame earning as smart and responsible behavior.</w:t>
        <w:br/>
        <w:br/>
        <w:t>Effective tone: "You're smart for doing this."</w:t>
        <w:br/>
        <w:t>Avoid: "Easy money," hype language, get-rich messaging.</w:t>
      </w:r>
    </w:p>
    <w:p>
      <w:pPr>
        <w:pStyle w:val="Heading1"/>
      </w:pPr>
      <w:r>
        <w:t>Strategic Opportunity</w:t>
      </w:r>
    </w:p>
    <w:p>
      <w:r>
        <w:rPr>
          <w:b/>
          <w:i w:val="0"/>
        </w:rPr>
        <w:t>This audience represents a large and underserved market.</w:t>
      </w:r>
    </w:p>
    <w:p>
      <w:pPr>
        <w:pStyle w:val="ListBullet"/>
      </w:pPr>
      <w:r>
        <w:rPr>
          <w:sz w:val="30"/>
        </w:rPr>
        <w:t xml:space="preserve">Gen X is projected to drive $15.2 trillion in global consumer spending in 2025 — </w:t>
      </w:r>
      <w:hyperlink r:id="rId10">
        <w:r>
          <w:rPr>
            <w:color w:val="2563EB"/>
            <w:u w:val="single"/>
            <w:sz w:val="26"/>
          </w:rPr>
          <w:t>NIQ / World Data Lab, "The X Factor" (Jul 2025)</w:t>
        </w:r>
      </w:hyperlink>
    </w:p>
    <w:p>
      <w:pPr>
        <w:pStyle w:val="ListBullet"/>
      </w:pPr>
      <w:r>
        <w:rPr>
          <w:sz w:val="30"/>
        </w:rPr>
        <w:t xml:space="preserve">Women influence 70–80% of all consumer purchasing decisions — </w:t>
      </w:r>
      <w:hyperlink r:id="rId11">
        <w:r>
          <w:rPr>
            <w:color w:val="2563EB"/>
            <w:u w:val="single"/>
            <w:sz w:val="26"/>
          </w:rPr>
          <w:t>NIQ (2025); originally BCG / Harvard Business Review (2009)</w:t>
        </w:r>
      </w:hyperlink>
    </w:p>
    <w:p>
      <w:pPr>
        <w:pStyle w:val="ListBullet"/>
      </w:pPr>
      <w:r>
        <w:rPr>
          <w:sz w:val="30"/>
        </w:rPr>
        <w:t xml:space="preserve">Women 50+ control 95% of household purchasing decisions — </w:t>
      </w:r>
      <w:hyperlink r:id="rId33">
        <w:r>
          <w:rPr>
            <w:color w:val="2563EB"/>
            <w:u w:val="single"/>
            <w:sz w:val="26"/>
          </w:rPr>
          <w:t>AARP (citing Nielsen and U.S. Consumer Expenditure Survey)</w:t>
        </w:r>
      </w:hyperlink>
    </w:p>
    <w:p>
      <w:pPr>
        <w:pStyle w:val="ListBullet"/>
      </w:pPr>
      <w:r>
        <w:rPr>
          <w:sz w:val="30"/>
        </w:rPr>
        <w:t xml:space="preserve">59% of adults 50+ say technology is not designed with their age group in mind — </w:t>
      </w:r>
      <w:hyperlink r:id="rId9">
        <w:r>
          <w:rPr>
            <w:color w:val="2563EB"/>
            <w:u w:val="single"/>
            <w:sz w:val="26"/>
          </w:rPr>
          <w:t>AARP, Technology Trends (2022–2024)</w:t>
        </w:r>
      </w:hyperlink>
    </w:p>
    <w:p>
      <w:r>
        <w:rPr>
          <w:b w:val="0"/>
          <w:i w:val="0"/>
        </w:rPr>
        <w:t>A product designed around trust, simplicity, and practical financial value can achieve strong retention and word-of-mouth growth.</w:t>
      </w:r>
    </w:p>
    <w:p>
      <w:pPr>
        <w:pStyle w:val="Heading1"/>
      </w:pPr>
      <w:r>
        <w:t>Core Product Principles</w:t>
      </w:r>
    </w:p>
    <w:p>
      <w:r>
        <w:rPr>
          <w:b/>
          <w:i w:val="0"/>
        </w:rPr>
        <w:t>The app should feel like a trustworthy budgeting ally that rewards everyday actions.</w:t>
      </w:r>
    </w:p>
    <w:p>
      <w:pPr>
        <w:pStyle w:val="ListBullet"/>
      </w:pPr>
      <w:r>
        <w:rPr>
          <w:sz w:val="26"/>
        </w:rPr>
        <w:t>Simple earning</w:t>
      </w:r>
    </w:p>
    <w:p>
      <w:pPr>
        <w:pStyle w:val="ListBullet"/>
      </w:pPr>
      <w:r>
        <w:rPr>
          <w:sz w:val="26"/>
        </w:rPr>
        <w:t>Clear rewards</w:t>
      </w:r>
    </w:p>
    <w:p>
      <w:pPr>
        <w:pStyle w:val="ListBullet"/>
      </w:pPr>
      <w:r>
        <w:rPr>
          <w:sz w:val="26"/>
        </w:rPr>
        <w:t>Strong trust signals</w:t>
      </w:r>
    </w:p>
    <w:p>
      <w:pPr>
        <w:pStyle w:val="ListBullet"/>
      </w:pPr>
      <w:r>
        <w:rPr>
          <w:sz w:val="26"/>
        </w:rPr>
        <w:t>Routine-friendly engagement</w:t>
      </w:r>
    </w:p>
    <w:p>
      <w:pPr>
        <w:pStyle w:val="ListBullet"/>
      </w:pPr>
      <w:r>
        <w:rPr>
          <w:sz w:val="26"/>
        </w:rPr>
        <w:t>Referral-driven growth</w:t>
      </w:r>
    </w:p>
    <w:p>
      <w:pPr>
        <w:pStyle w:val="Heading1"/>
      </w:pPr>
      <w:r>
        <w:t>Complete Source List</w:t>
      </w:r>
    </w:p>
    <w:p>
      <w:r>
        <w:rPr>
          <w:color w:val="6B6B6B"/>
          <w:sz w:val="26"/>
        </w:rPr>
        <w:t xml:space="preserve">1. </w:t>
      </w:r>
      <w:hyperlink r:id="rId13">
        <w:r>
          <w:rPr>
            <w:color w:val="2563EB"/>
            <w:u w:val="single"/>
            <w:sz w:val="26"/>
          </w:rPr>
          <w:t>Laurel Road / HarrisX, 8th Annual Women's Financial Survey (2025)</w:t>
        </w:r>
      </w:hyperlink>
    </w:p>
    <w:p>
      <w:r>
        <w:rPr>
          <w:color w:val="6B6B6B"/>
          <w:sz w:val="26"/>
        </w:rPr>
        <w:t xml:space="preserve">2. </w:t>
      </w:r>
      <w:hyperlink r:id="rId14">
        <w:r>
          <w:rPr>
            <w:color w:val="2563EB"/>
            <w:u w:val="single"/>
            <w:sz w:val="26"/>
          </w:rPr>
          <w:t>AARP, "She's the Difference" — Financial Stress Among Women 50–64 (Dec 2025)</w:t>
        </w:r>
      </w:hyperlink>
    </w:p>
    <w:p>
      <w:r>
        <w:rPr>
          <w:color w:val="6B6B6B"/>
          <w:sz w:val="26"/>
        </w:rPr>
        <w:t xml:space="preserve">3. </w:t>
      </w:r>
      <w:hyperlink r:id="rId15">
        <w:r>
          <w:rPr>
            <w:color w:val="2563EB"/>
            <w:u w:val="single"/>
            <w:sz w:val="26"/>
          </w:rPr>
          <w:t>AARP, "She's the Difference" — Financial Anxiety Among Women 50+ (Dec 2025)</w:t>
        </w:r>
      </w:hyperlink>
    </w:p>
    <w:p>
      <w:r>
        <w:rPr>
          <w:color w:val="6B6B6B"/>
          <w:sz w:val="26"/>
        </w:rPr>
        <w:t xml:space="preserve">4. </w:t>
      </w:r>
      <w:hyperlink r:id="rId16">
        <w:r>
          <w:rPr>
            <w:color w:val="2563EB"/>
            <w:u w:val="single"/>
            <w:sz w:val="26"/>
          </w:rPr>
          <w:t>Allianz Life, 2025 Women Money Power Study (Sep 2025)</w:t>
        </w:r>
      </w:hyperlink>
    </w:p>
    <w:p>
      <w:r>
        <w:rPr>
          <w:color w:val="6B6B6B"/>
          <w:sz w:val="26"/>
        </w:rPr>
        <w:t xml:space="preserve">5. </w:t>
      </w:r>
      <w:hyperlink r:id="rId17">
        <w:r>
          <w:rPr>
            <w:color w:val="2563EB"/>
            <w:u w:val="single"/>
            <w:sz w:val="26"/>
          </w:rPr>
          <w:t>Federal Reserve Board, SHED — Economic Well-Being of U.S. Households (2024)</w:t>
        </w:r>
      </w:hyperlink>
    </w:p>
    <w:p>
      <w:r>
        <w:rPr>
          <w:color w:val="6B6B6B"/>
          <w:sz w:val="26"/>
        </w:rPr>
        <w:t xml:space="preserve">6. </w:t>
      </w:r>
      <w:hyperlink r:id="rId18">
        <w:r>
          <w:rPr>
            <w:color w:val="2563EB"/>
            <w:u w:val="single"/>
            <w:sz w:val="26"/>
          </w:rPr>
          <w:t>Pew Research Center, Americans' Use of Mobile Technology (Jan 2024)</w:t>
        </w:r>
      </w:hyperlink>
    </w:p>
    <w:p>
      <w:r>
        <w:rPr>
          <w:color w:val="6B6B6B"/>
          <w:sz w:val="26"/>
        </w:rPr>
        <w:t xml:space="preserve">7. </w:t>
      </w:r>
      <w:hyperlink r:id="rId19">
        <w:r>
          <w:rPr>
            <w:color w:val="2563EB"/>
            <w:u w:val="single"/>
            <w:sz w:val="26"/>
          </w:rPr>
          <w:t>Pew Research Center, Americans' Social Media Use (2025)</w:t>
        </w:r>
      </w:hyperlink>
    </w:p>
    <w:p>
      <w:r>
        <w:rPr>
          <w:color w:val="6B6B6B"/>
          <w:sz w:val="26"/>
        </w:rPr>
        <w:t xml:space="preserve">8. </w:t>
      </w:r>
      <w:hyperlink r:id="rId9">
        <w:r>
          <w:rPr>
            <w:color w:val="2563EB"/>
            <w:u w:val="single"/>
            <w:sz w:val="26"/>
          </w:rPr>
          <w:t>AARP, 2024 Technology Trends for Adults 50+</w:t>
        </w:r>
      </w:hyperlink>
    </w:p>
    <w:p>
      <w:r>
        <w:rPr>
          <w:color w:val="6B6B6B"/>
          <w:sz w:val="26"/>
        </w:rPr>
        <w:t xml:space="preserve">9. </w:t>
      </w:r>
      <w:hyperlink r:id="rId34">
        <w:r>
          <w:rPr>
            <w:color w:val="2563EB"/>
            <w:u w:val="single"/>
            <w:sz w:val="26"/>
          </w:rPr>
          <w:t>Deloitte, Connected Consumer Survey (2023)</w:t>
        </w:r>
      </w:hyperlink>
    </w:p>
    <w:p>
      <w:r>
        <w:rPr>
          <w:color w:val="6B6B6B"/>
          <w:sz w:val="26"/>
        </w:rPr>
        <w:t xml:space="preserve">10. </w:t>
      </w:r>
      <w:hyperlink r:id="rId20">
        <w:r>
          <w:rPr>
            <w:color w:val="2563EB"/>
            <w:u w:val="single"/>
            <w:sz w:val="26"/>
          </w:rPr>
          <w:t>AARP, "2023 Gamers 50+" (Apr 2023)</w:t>
        </w:r>
      </w:hyperlink>
    </w:p>
    <w:p>
      <w:r>
        <w:rPr>
          <w:color w:val="6B6B6B"/>
          <w:sz w:val="26"/>
        </w:rPr>
        <w:t xml:space="preserve">11. </w:t>
      </w:r>
      <w:hyperlink r:id="rId21">
        <w:r>
          <w:rPr>
            <w:color w:val="2563EB"/>
            <w:u w:val="single"/>
            <w:sz w:val="26"/>
          </w:rPr>
          <w:t>AARP, Gaming Trends Among Older Americans (2020)</w:t>
        </w:r>
      </w:hyperlink>
    </w:p>
    <w:p>
      <w:r>
        <w:rPr>
          <w:color w:val="6B6B6B"/>
          <w:sz w:val="26"/>
        </w:rPr>
        <w:t xml:space="preserve">12. </w:t>
      </w:r>
      <w:hyperlink r:id="rId22">
        <w:r>
          <w:rPr>
            <w:color w:val="2563EB"/>
            <w:u w:val="single"/>
            <w:sz w:val="26"/>
          </w:rPr>
          <w:t>Entertainment Software Association, Essential Facts (2025)</w:t>
        </w:r>
      </w:hyperlink>
    </w:p>
    <w:p>
      <w:r>
        <w:rPr>
          <w:color w:val="6B6B6B"/>
          <w:sz w:val="26"/>
        </w:rPr>
        <w:t xml:space="preserve">13. </w:t>
      </w:r>
      <w:hyperlink r:id="rId26">
        <w:r>
          <w:rPr>
            <w:color w:val="2563EB"/>
            <w:u w:val="single"/>
            <w:sz w:val="26"/>
          </w:rPr>
          <w:t>AARP, Fraud Awareness Report (2024)</w:t>
        </w:r>
      </w:hyperlink>
    </w:p>
    <w:p>
      <w:r>
        <w:rPr>
          <w:color w:val="6B6B6B"/>
          <w:sz w:val="26"/>
        </w:rPr>
        <w:t xml:space="preserve">14. </w:t>
      </w:r>
      <w:hyperlink r:id="rId27">
        <w:r>
          <w:rPr>
            <w:color w:val="2563EB"/>
            <w:u w:val="single"/>
            <w:sz w:val="26"/>
          </w:rPr>
          <w:t>FTC, "Protecting Older Consumers 2024–2025" (Dec 2025)</w:t>
        </w:r>
      </w:hyperlink>
    </w:p>
    <w:p>
      <w:r>
        <w:rPr>
          <w:color w:val="6B6B6B"/>
          <w:sz w:val="26"/>
        </w:rPr>
        <w:t xml:space="preserve">15. </w:t>
      </w:r>
      <w:hyperlink r:id="rId28">
        <w:r>
          <w:rPr>
            <w:color w:val="2563EB"/>
            <w:u w:val="single"/>
            <w:sz w:val="26"/>
          </w:rPr>
          <w:t>FTC, "Bringing Dark Patterns to Light" (Sep 2022)</w:t>
        </w:r>
      </w:hyperlink>
    </w:p>
    <w:p>
      <w:r>
        <w:rPr>
          <w:color w:val="6B6B6B"/>
          <w:sz w:val="26"/>
        </w:rPr>
        <w:t xml:space="preserve">16. </w:t>
      </w:r>
      <w:hyperlink r:id="rId29">
        <w:r>
          <w:rPr>
            <w:color w:val="2563EB"/>
            <w:u w:val="single"/>
            <w:sz w:val="26"/>
          </w:rPr>
          <w:t>Nielsen Norman Group, Usability for Senior Citizens</w:t>
        </w:r>
      </w:hyperlink>
    </w:p>
    <w:p>
      <w:r>
        <w:rPr>
          <w:color w:val="6B6B6B"/>
          <w:sz w:val="26"/>
        </w:rPr>
        <w:t xml:space="preserve">17. </w:t>
      </w:r>
      <w:hyperlink r:id="rId23">
        <w:r>
          <w:rPr>
            <w:color w:val="2563EB"/>
            <w:u w:val="single"/>
            <w:sz w:val="26"/>
          </w:rPr>
          <w:t>Kappen et al., The Gerontologist (2021)</w:t>
        </w:r>
      </w:hyperlink>
    </w:p>
    <w:p>
      <w:r>
        <w:rPr>
          <w:color w:val="6B6B6B"/>
          <w:sz w:val="26"/>
        </w:rPr>
        <w:t xml:space="preserve">18. </w:t>
      </w:r>
      <w:hyperlink r:id="rId24">
        <w:r>
          <w:rPr>
            <w:color w:val="2563EB"/>
            <w:u w:val="single"/>
            <w:sz w:val="26"/>
          </w:rPr>
          <w:t>Altmeyer et al., J. Computing in Higher Education (2025)</w:t>
        </w:r>
      </w:hyperlink>
    </w:p>
    <w:p>
      <w:r>
        <w:rPr>
          <w:color w:val="6B6B6B"/>
          <w:sz w:val="26"/>
        </w:rPr>
        <w:t xml:space="preserve">19. </w:t>
      </w:r>
      <w:hyperlink r:id="rId31">
        <w:r>
          <w:rPr>
            <w:color w:val="2563EB"/>
            <w:u w:val="single"/>
            <w:sz w:val="26"/>
          </w:rPr>
          <w:t>Tondello et al., Intl Journal of Human-Computer Interaction (2024)</w:t>
        </w:r>
      </w:hyperlink>
    </w:p>
    <w:p>
      <w:r>
        <w:rPr>
          <w:color w:val="6B6B6B"/>
          <w:sz w:val="26"/>
        </w:rPr>
        <w:t xml:space="preserve">20. </w:t>
      </w:r>
      <w:hyperlink r:id="rId30">
        <w:r>
          <w:rPr>
            <w:color w:val="2563EB"/>
            <w:u w:val="single"/>
            <w:sz w:val="26"/>
          </w:rPr>
          <w:t>ACM CHI 2024</w:t>
        </w:r>
      </w:hyperlink>
    </w:p>
    <w:p>
      <w:r>
        <w:rPr>
          <w:color w:val="6B6B6B"/>
          <w:sz w:val="26"/>
        </w:rPr>
        <w:t xml:space="preserve">21. </w:t>
      </w:r>
      <w:hyperlink r:id="rId10">
        <w:r>
          <w:rPr>
            <w:color w:val="2563EB"/>
            <w:u w:val="single"/>
            <w:sz w:val="26"/>
          </w:rPr>
          <w:t>NIQ / World Data Lab, "The X Factor" (Jul 2025)</w:t>
        </w:r>
      </w:hyperlink>
    </w:p>
    <w:p>
      <w:r>
        <w:rPr>
          <w:color w:val="6B6B6B"/>
          <w:sz w:val="26"/>
        </w:rPr>
        <w:t xml:space="preserve">22. </w:t>
      </w:r>
      <w:hyperlink r:id="rId11">
        <w:r>
          <w:rPr>
            <w:color w:val="2563EB"/>
            <w:u w:val="single"/>
            <w:sz w:val="26"/>
          </w:rPr>
          <w:t>Harvard Business Review, "The Female Economy" (Sep 2009)</w:t>
        </w:r>
      </w:hyperlink>
    </w:p>
    <w:p>
      <w:r>
        <w:rPr>
          <w:color w:val="6B6B6B"/>
          <w:sz w:val="26"/>
        </w:rPr>
        <w:t xml:space="preserve">23. </w:t>
      </w:r>
      <w:hyperlink r:id="rId33">
        <w:r>
          <w:rPr>
            <w:color w:val="2563EB"/>
            <w:u w:val="single"/>
            <w:sz w:val="26"/>
          </w:rPr>
          <w:t>AARP, Ignoring 50+ Women</w:t>
        </w:r>
      </w:hyperlink>
    </w:p>
    <w:p>
      <w:r>
        <w:rPr>
          <w:color w:val="6B6B6B"/>
          <w:sz w:val="26"/>
        </w:rPr>
        <w:t xml:space="preserve">24. </w:t>
      </w:r>
      <w:hyperlink r:id="rId12">
        <w:r>
          <w:rPr>
            <w:color w:val="2563EB"/>
            <w:u w:val="single"/>
            <w:sz w:val="26"/>
          </w:rPr>
          <w:t>Nielsen, Global Trust in Advertising (2021)</w:t>
        </w:r>
      </w:hyperlink>
    </w:p>
    <w:p>
      <w:r>
        <w:rPr>
          <w:color w:val="6B6B6B"/>
          <w:sz w:val="26"/>
        </w:rPr>
        <w:t xml:space="preserve">25. </w:t>
      </w:r>
      <w:hyperlink r:id="rId25">
        <w:r>
          <w:rPr>
            <w:color w:val="2563EB"/>
            <w:u w:val="single"/>
            <w:sz w:val="26"/>
          </w:rPr>
          <w:t>Bankrate, Credit Card Rewards Survey (Nov 2024)</w:t>
        </w:r>
      </w:hyperlink>
    </w:p>
    <w:p>
      <w:r>
        <w:rPr>
          <w:color w:val="6B6B6B"/>
          <w:sz w:val="26"/>
        </w:rPr>
        <w:t xml:space="preserve">26. </w:t>
      </w:r>
      <w:hyperlink r:id="rId32">
        <w:r>
          <w:rPr>
            <w:color w:val="2563EB"/>
            <w:u w:val="single"/>
            <w:sz w:val="26"/>
          </w:rPr>
          <w:t>AARP, 2023 Technology Trends for Adults 50+</w:t>
        </w:r>
      </w:hyperlink>
    </w:p>
    <w:sectPr w:rsidR="00FC693F" w:rsidRPr="0006063C" w:rsidSect="00034616">
      <w:pgSz w:w="12240" w:h="15840"/>
      <w:pgMar w:top="1440" w:right="1584" w:bottom="115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Arial" w:hAnsi="Arial"/>
      <w:color w:val="2D2D2D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71412"/>
      <w:sz w:val="5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71412"/>
      <w:sz w:val="4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3D3D3D"/>
      <w:sz w:val="3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arp.org/pri/topics/technology/internet-media-devices/2024-technology-trends-older-adults/" TargetMode="External"/><Relationship Id="rId10" Type="http://schemas.openxmlformats.org/officeDocument/2006/relationships/hyperlink" Target="https://nielseniq.com/global/en/insights/report/2025/the-x-factor/" TargetMode="External"/><Relationship Id="rId11" Type="http://schemas.openxmlformats.org/officeDocument/2006/relationships/hyperlink" Target="https://hbr.org/2009/09/the-female-economy" TargetMode="External"/><Relationship Id="rId12" Type="http://schemas.openxmlformats.org/officeDocument/2006/relationships/hyperlink" Target="https://www.nielsen.com/insights/2021/beyond-martech-building-trust-with-consumers-and-engaging-where-sentiment-is-high/" TargetMode="External"/><Relationship Id="rId13" Type="http://schemas.openxmlformats.org/officeDocument/2006/relationships/hyperlink" Target="https://www.prnewswire.com/news-releases/women-taking-the-financial-reins-annual-survey-reveals-determination-amid-challenges-302393919.html" TargetMode="External"/><Relationship Id="rId14" Type="http://schemas.openxmlformats.org/officeDocument/2006/relationships/hyperlink" Target="https://www.aarp.org/pri/topics/work-finances-retirement/financial-security-retirement/financial-stress-older-women.html" TargetMode="External"/><Relationship Id="rId15" Type="http://schemas.openxmlformats.org/officeDocument/2006/relationships/hyperlink" Target="https://www.aarp.org/pri/topics/work-finances-retirement/financial-security-retirement/shes-the-difference-financial-security/" TargetMode="External"/><Relationship Id="rId16" Type="http://schemas.openxmlformats.org/officeDocument/2006/relationships/hyperlink" Target="https://www.allianzlife.com/about/newsroom/2025-Press-Releases/Gen-X-Nearing-Retirement-With-Worries" TargetMode="External"/><Relationship Id="rId17" Type="http://schemas.openxmlformats.org/officeDocument/2006/relationships/hyperlink" Target="https://www.federalreserve.gov/publications/2024-economic-well-being-of-us-households-in-2023-expenses.htm" TargetMode="External"/><Relationship Id="rId18" Type="http://schemas.openxmlformats.org/officeDocument/2006/relationships/hyperlink" Target="https://www.pewresearch.org/internet/2024/01/31/americans-use-of-mobile-technology-and-home-broadband/" TargetMode="External"/><Relationship Id="rId19" Type="http://schemas.openxmlformats.org/officeDocument/2006/relationships/hyperlink" Target="https://www.pewresearch.org/internet/2025/11/20/americans-social-media-use-2025/" TargetMode="External"/><Relationship Id="rId20" Type="http://schemas.openxmlformats.org/officeDocument/2006/relationships/hyperlink" Target="https://www.aarp.org/pri/topics/social-leisure/activities-interests/2023-gamers-50-plus/" TargetMode="External"/><Relationship Id="rId21" Type="http://schemas.openxmlformats.org/officeDocument/2006/relationships/hyperlink" Target="https://www.aarp.org/pri/topics/technology/internet-media-devices/2020-gaming-trends-older-americans/" TargetMode="External"/><Relationship Id="rId22" Type="http://schemas.openxmlformats.org/officeDocument/2006/relationships/hyperlink" Target="https://www.theesa.com/annual-esa-study-reveals-video-games-universal-appeal-across-generations/" TargetMode="External"/><Relationship Id="rId23" Type="http://schemas.openxmlformats.org/officeDocument/2006/relationships/hyperlink" Target="https://pmc.ncbi.nlm.nih.gov/articles/PMC8437506/" TargetMode="External"/><Relationship Id="rId24" Type="http://schemas.openxmlformats.org/officeDocument/2006/relationships/hyperlink" Target="https://link.springer.com/article/10.1007/s12528-025-09438-4" TargetMode="External"/><Relationship Id="rId25" Type="http://schemas.openxmlformats.org/officeDocument/2006/relationships/hyperlink" Target="https://www.bankrate.com/credit-cards/news/credit-card-rewards-survey/" TargetMode="External"/><Relationship Id="rId26" Type="http://schemas.openxmlformats.org/officeDocument/2006/relationships/hyperlink" Target="https://www.aarp.org/money/scams-fraud/aarp-fraud-awareness-report-2024/" TargetMode="External"/><Relationship Id="rId27" Type="http://schemas.openxmlformats.org/officeDocument/2006/relationships/hyperlink" Target="https://www.ftc.gov/system/files/ftc_gov/pdf/P144400-OlderAdultsReportDec2025.pdf" TargetMode="External"/><Relationship Id="rId28" Type="http://schemas.openxmlformats.org/officeDocument/2006/relationships/hyperlink" Target="https://www.ftc.gov/reports/bringing-dark-patterns-light" TargetMode="External"/><Relationship Id="rId29" Type="http://schemas.openxmlformats.org/officeDocument/2006/relationships/hyperlink" Target="https://www.nngroup.com/articles/usability-for-senior-citizens/" TargetMode="External"/><Relationship Id="rId30" Type="http://schemas.openxmlformats.org/officeDocument/2006/relationships/hyperlink" Target="https://dl.acm.org/doi/10.1145/3613904.3642796" TargetMode="External"/><Relationship Id="rId31" Type="http://schemas.openxmlformats.org/officeDocument/2006/relationships/hyperlink" Target="https://www.tandfonline.com/doi/full/10.1080/10447318.2024.2446498" TargetMode="External"/><Relationship Id="rId32" Type="http://schemas.openxmlformats.org/officeDocument/2006/relationships/hyperlink" Target="https://www.aarp.org/pri/topics/technology/internet-media-devices/2023-technology-trends-older-adults/" TargetMode="External"/><Relationship Id="rId33" Type="http://schemas.openxmlformats.org/officeDocument/2006/relationships/hyperlink" Target="https://advertise.aarp.org/50-insights/ignoring-50-plus-women" TargetMode="External"/><Relationship Id="rId34" Type="http://schemas.openxmlformats.org/officeDocument/2006/relationships/hyperlink" Target="https://www.deloitte.com/us/en/insights/industry/telecommunications/connectivity-mobile-trends-survey/2023/connectivity-mobile-trends-survey-full-repor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