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2016-08-03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existing feature recipe on Highland Farms website from Berries &amp; Cream to Chicken Kabobs. This will update the linked hero banner on the recipes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http://www.highlandfarms.ca/recipes</w:t>
        </w:r>
      </w:hyperlink>
      <w:r w:rsidDel="00000000" w:rsidR="00000000" w:rsidRPr="00000000">
        <w:rPr>
          <w:sz w:val="20"/>
          <w:szCs w:val="20"/>
          <w:rtl w:val="0"/>
        </w:rPr>
        <w:t xml:space="preserve"> as well as the recipes thumbnail below the homepage carousel at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htdocs/prod/web/assets/data/recipes/recipes.json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#297 - Updating feature recipe to Chicken Kabobs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If this change is not pushed to production, the website will feature an outdated feature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1.png"/>
          <a:graphic>
            <a:graphicData uri="http://schemas.openxmlformats.org/drawingml/2006/picture">
              <pic:pic>
                <pic:nvPicPr>
                  <pic:cNvPr descr="STJ_CMYK-01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recipes" TargetMode="External"/><Relationship Id="rId6" Type="http://schemas.openxmlformats.org/officeDocument/2006/relationships/hyperlink" Target="http://www.highlandfarms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