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68639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2016-10-19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Engineer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 Gagliano-Veiga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For the platters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http://www.highlandfarms.ca/party-platters</w:t>
        </w:r>
      </w:hyperlink>
      <w:r w:rsidDel="00000000" w:rsidR="00000000" w:rsidRPr="00000000">
        <w:rPr>
          <w:sz w:val="20"/>
          <w:szCs w:val="20"/>
          <w:rtl w:val="0"/>
        </w:rPr>
        <w:t xml:space="preserve">, the existing catering brochure PDF is to be updated with a font-corrected version.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 </w:t>
      </w:r>
      <w:r w:rsidDel="00000000" w:rsidR="00000000" w:rsidRPr="00000000">
        <w:rPr>
          <w:sz w:val="20"/>
          <w:szCs w:val="20"/>
          <w:rtl w:val="0"/>
        </w:rPr>
        <w:t xml:space="preserve">htdocs/prod/web/assets/highland-farms-platters-catering-brochure.pdf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#367 - Updating existing catering brochure PDF with font-corrected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platters page catering brochure will contain a minor but noticeable difference in font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404ae23f29b8d2e199f4e40bcc6d2ea1cafed874 to master using Assembla SSH Tool for updating production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develop into master once smoke testing has confirmed a successful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1.png"/>
          <a:graphic>
            <a:graphicData uri="http://schemas.openxmlformats.org/drawingml/2006/picture">
              <pic:pic>
                <pic:nvPicPr>
                  <pic:cNvPr descr="STJ_CMYK-01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party-platt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