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2AB5" w14:textId="1983A1B4" w:rsidR="00A714C0" w:rsidRPr="00A714C0" w:rsidRDefault="00A714C0" w:rsidP="0080660E">
      <w:pPr>
        <w:spacing w:line="480" w:lineRule="auto"/>
        <w:jc w:val="center"/>
        <w:rPr>
          <w:b/>
          <w:bCs/>
          <w:sz w:val="28"/>
          <w:szCs w:val="28"/>
        </w:rPr>
      </w:pPr>
      <w:r w:rsidRPr="00A714C0">
        <w:rPr>
          <w:b/>
          <w:bCs/>
          <w:sz w:val="28"/>
          <w:szCs w:val="28"/>
        </w:rPr>
        <w:t>Multiverse Analysis in Functional Magnetic Resonance Imaging:</w:t>
      </w:r>
    </w:p>
    <w:p w14:paraId="351BCFDE" w14:textId="117E2A28" w:rsidR="00A714C0" w:rsidRPr="00A714C0" w:rsidRDefault="00A714C0" w:rsidP="0080660E">
      <w:pPr>
        <w:spacing w:line="480" w:lineRule="auto"/>
        <w:jc w:val="center"/>
        <w:rPr>
          <w:b/>
          <w:bCs/>
          <w:sz w:val="28"/>
          <w:szCs w:val="28"/>
        </w:rPr>
      </w:pPr>
      <w:r w:rsidRPr="00A714C0">
        <w:rPr>
          <w:b/>
          <w:bCs/>
          <w:sz w:val="28"/>
          <w:szCs w:val="28"/>
        </w:rPr>
        <w:t>An Attempt of Data Processing with 12 Pipelines</w:t>
      </w:r>
    </w:p>
    <w:p w14:paraId="4901399A" w14:textId="30240C36" w:rsidR="00B6114B" w:rsidRDefault="00761C9B" w:rsidP="0080660E">
      <w:pPr>
        <w:spacing w:line="480" w:lineRule="auto"/>
        <w:ind w:firstLine="720"/>
      </w:pPr>
      <w:r>
        <w:t>Functional magnetic resonance imaging (fMRI) is a common method to measure neural activity in the brain in the field of cognitive neuroscience. As fMRI gains popularity in the research field, methodological concerns that of such technology arise, with reproducibility as one of the most recognized issues (</w:t>
      </w:r>
      <w:proofErr w:type="spellStart"/>
      <w:r w:rsidR="00B6114B" w:rsidRPr="00B6114B">
        <w:t>Botvinik-Nezer</w:t>
      </w:r>
      <w:proofErr w:type="spellEnd"/>
      <w:r w:rsidR="00B6114B" w:rsidRPr="00B6114B">
        <w:t xml:space="preserve"> &amp; Wager, 2023</w:t>
      </w:r>
      <w:r>
        <w:t xml:space="preserve">; </w:t>
      </w:r>
      <w:proofErr w:type="spellStart"/>
      <w:r>
        <w:t>Niso</w:t>
      </w:r>
      <w:proofErr w:type="spellEnd"/>
      <w:r>
        <w:t xml:space="preserve"> et al., 2022). Unlike behavioral measures of human cognition, cognitive neuroscience techniques, specifically fMRI, requires </w:t>
      </w:r>
      <w:r w:rsidR="00B6114B">
        <w:t xml:space="preserve">numerous preprocessing steps from raw data prior to data analysis. </w:t>
      </w:r>
      <w:proofErr w:type="spellStart"/>
      <w:r w:rsidR="00B6114B">
        <w:t>Kristanto</w:t>
      </w:r>
      <w:proofErr w:type="spellEnd"/>
      <w:r w:rsidR="00B6114B">
        <w:t xml:space="preserve"> et al. (2024) reviewed 220 papers that utilize graph-based fMRI and discovered 220 unique analysis pipelines. Sixty-one steps of analysis pipelines were identified, 17 of which has frequently varied parameters, yielding in 102 total probable parameters that may vary. As such, it’s common to identify that a single research question could be addressed in various ways solely dependent on the analysis pipeline of a specific research team (</w:t>
      </w:r>
      <w:proofErr w:type="spellStart"/>
      <w:r w:rsidR="00B6114B">
        <w:t>Dafflon</w:t>
      </w:r>
      <w:proofErr w:type="spellEnd"/>
      <w:r w:rsidR="00B6114B">
        <w:t xml:space="preserve"> et al., 2022).</w:t>
      </w:r>
      <w:r w:rsidR="00063F81">
        <w:t xml:space="preserve"> Multiverse analysis, indeed, attempts to answer the question: how do </w:t>
      </w:r>
      <w:r w:rsidR="004A63CE">
        <w:t xml:space="preserve">different </w:t>
      </w:r>
      <w:r w:rsidR="00063F81">
        <w:t>choices of preprocessing and analysis affect</w:t>
      </w:r>
      <w:r w:rsidR="004A63CE">
        <w:t xml:space="preserve"> the results of fMRI studies</w:t>
      </w:r>
      <w:r w:rsidR="00063F81">
        <w:t>?</w:t>
      </w:r>
    </w:p>
    <w:p w14:paraId="1AECBE77" w14:textId="71F538A0" w:rsidR="00A0505B" w:rsidRDefault="00B6114B" w:rsidP="0080660E">
      <w:pPr>
        <w:spacing w:line="480" w:lineRule="auto"/>
        <w:ind w:firstLine="720"/>
      </w:pPr>
      <w:r>
        <w:t xml:space="preserve">The issue of variability in fMRI analysis pipelines </w:t>
      </w:r>
      <w:r w:rsidR="00063F81">
        <w:t>has been identified</w:t>
      </w:r>
      <w:r>
        <w:t xml:space="preserve"> by </w:t>
      </w:r>
      <w:r w:rsidR="00A82DB4">
        <w:t>multiple studies, as choices including software environment (</w:t>
      </w:r>
      <w:proofErr w:type="spellStart"/>
      <w:r w:rsidR="00A82DB4">
        <w:t>Glatard</w:t>
      </w:r>
      <w:proofErr w:type="spellEnd"/>
      <w:r w:rsidR="00A82DB4">
        <w:t xml:space="preserve"> et al., 2015), segmentation (Palumbo et al., 2019), motion correction (Oakes et al., 2005), and registration (Klein et al., 2009) might contribute to various findings. </w:t>
      </w:r>
      <w:r w:rsidR="00063F81">
        <w:t xml:space="preserve">Most recently, </w:t>
      </w:r>
      <w:proofErr w:type="spellStart"/>
      <w:r>
        <w:t>Botvinik-Nezer</w:t>
      </w:r>
      <w:proofErr w:type="spellEnd"/>
      <w:r>
        <w:t xml:space="preserve"> et al. (2020)</w:t>
      </w:r>
      <w:r w:rsidR="00063F81">
        <w:t xml:space="preserve"> effectively and empirically demonstrated the issue</w:t>
      </w:r>
      <w:r>
        <w:t>.</w:t>
      </w:r>
      <w:r w:rsidR="00074B0D">
        <w:t xml:space="preserve"> Seventy independent research teams were provided with the same fMRI raw dataset and nine hypotheses to test, as they were instructed to conduct the analysis in a conventional way in their laboratories. Results found that conclusions for the hypothesis test of five out of the nine hypotheses yielded large variation from 21.4% to 37.1%. </w:t>
      </w:r>
      <w:r w:rsidR="00074B0D">
        <w:lastRenderedPageBreak/>
        <w:t xml:space="preserve">There is low consistency in the nine hypothesis, as significant finding of one hypothesis was discovered by 84.3% of the research teams, and the other three non-significant hypothesis reached 94.3% consensus. In fact, across all hypotheses, 20% teams reported a different conclusion from </w:t>
      </w:r>
      <w:proofErr w:type="gramStart"/>
      <w:r w:rsidR="00074B0D">
        <w:t>the majority of</w:t>
      </w:r>
      <w:proofErr w:type="gramEnd"/>
      <w:r w:rsidR="00074B0D">
        <w:t xml:space="preserve"> teams, indicating a level that almost falls midway between finding completely random results and completely consistency (i.e., the maximum possible variability is 50%). Several parameters in the preprocessing </w:t>
      </w:r>
      <w:r w:rsidR="00A0505B">
        <w:t xml:space="preserve">and analysis </w:t>
      </w:r>
      <w:r w:rsidR="00074B0D">
        <w:t>pipeline were discovered to result in significant findings</w:t>
      </w:r>
      <w:r w:rsidR="00A0505B">
        <w:t xml:space="preserve"> at a higher chance. Size of the smoothing kernel, software package used, and method of multiple correction were all significant factors that could lead to variation in the analysis, as larger smoothing kernel </w:t>
      </w:r>
      <w:r w:rsidR="00A0505B">
        <w:t>(decreasing signal-to-noise ratio by taking the average value of nearby voxels)</w:t>
      </w:r>
      <w:r w:rsidR="00A0505B">
        <w:t xml:space="preserve">, using FSL over SPM software, and parametric methods often yield in higher probability of significant outcomes. </w:t>
      </w:r>
    </w:p>
    <w:p w14:paraId="1D3D7DC1" w14:textId="678A3720" w:rsidR="004A63CE" w:rsidRDefault="004A63CE" w:rsidP="0080660E">
      <w:pPr>
        <w:spacing w:line="480" w:lineRule="auto"/>
        <w:ind w:firstLine="720"/>
      </w:pPr>
      <w:r>
        <w:t>Notably, while various studies have indicated the effect of choices in fMRI analysis that tend to lead to specific outcomes (</w:t>
      </w:r>
      <w:proofErr w:type="spellStart"/>
      <w:r>
        <w:t>Botvinik-Nezer</w:t>
      </w:r>
      <w:proofErr w:type="spellEnd"/>
      <w:r>
        <w:t xml:space="preserve"> et al., 2020; Bowring et al., 2022; Li et al., 2021), </w:t>
      </w:r>
      <w:proofErr w:type="spellStart"/>
      <w:r>
        <w:t>Kiar</w:t>
      </w:r>
      <w:proofErr w:type="spellEnd"/>
      <w:r>
        <w:t xml:space="preserve"> et al. (2024) pointed out that there is no single stage in the pipeline that is solely responsible for accounting the differences; rather, the interaction complexity between steps also contributes to the variation. Such suggestion invites a conversation that discusses the higher-order</w:t>
      </w:r>
      <w:r>
        <w:t xml:space="preserve"> mechanism </w:t>
      </w:r>
      <w:r>
        <w:t xml:space="preserve">of </w:t>
      </w:r>
      <w:r>
        <w:t xml:space="preserve">inter-pipeline </w:t>
      </w:r>
      <w:r>
        <w:t xml:space="preserve">variability. However, at the current stage, researchers’ attempts continue to primarily involve parsing out the effect of step-specific differences. </w:t>
      </w:r>
    </w:p>
    <w:p w14:paraId="332EBE1B" w14:textId="7CA312A3" w:rsidR="004A63CE" w:rsidRDefault="004A63CE" w:rsidP="0080660E">
      <w:pPr>
        <w:spacing w:line="480" w:lineRule="auto"/>
        <w:ind w:firstLine="720"/>
      </w:pPr>
      <w:r>
        <w:t>T</w:t>
      </w:r>
      <w:r>
        <w:t>he goal of this project is to investigate the variation in</w:t>
      </w:r>
      <w:r w:rsidRPr="004A63CE">
        <w:t xml:space="preserve"> subject-level contrast maps processed with different pipelines</w:t>
      </w:r>
      <w:r>
        <w:t xml:space="preserve">. </w:t>
      </w:r>
      <w:r w:rsidR="00A714C0">
        <w:t xml:space="preserve">The methodology of the project is an adaptation of </w:t>
      </w:r>
      <w:proofErr w:type="spellStart"/>
      <w:r w:rsidR="00A714C0">
        <w:t>Germani</w:t>
      </w:r>
      <w:proofErr w:type="spellEnd"/>
      <w:r w:rsidR="00A714C0">
        <w:t xml:space="preserve"> et al. (2025), where they conducted a fMRI mega-analysis and processed the raw data with 24 unique pipelines in a motor task. Importantly, the present project focuses on a decision-making task that represents higher cognitive function. While the original study included analysis of the </w:t>
      </w:r>
      <w:r w:rsidR="00A714C0">
        <w:lastRenderedPageBreak/>
        <w:t>effect of software packages (i.e., FSL and SPM), this project attempts to analyze 12 pipelines using only the FSL software.</w:t>
      </w:r>
    </w:p>
    <w:p w14:paraId="2C7EC145" w14:textId="15C932A2" w:rsidR="004A63CE" w:rsidRDefault="004A63CE" w:rsidP="0080660E">
      <w:pPr>
        <w:spacing w:line="480" w:lineRule="auto"/>
      </w:pPr>
    </w:p>
    <w:p w14:paraId="62A83E07" w14:textId="1FF00DF2" w:rsidR="004A63CE" w:rsidRPr="004A63CE" w:rsidRDefault="004A63CE" w:rsidP="0080660E">
      <w:pPr>
        <w:spacing w:line="480" w:lineRule="auto"/>
        <w:rPr>
          <w:b/>
          <w:bCs/>
        </w:rPr>
      </w:pPr>
      <w:r w:rsidRPr="004A63CE">
        <w:rPr>
          <w:b/>
          <w:bCs/>
        </w:rPr>
        <w:t>Method</w:t>
      </w:r>
    </w:p>
    <w:p w14:paraId="5753C97D" w14:textId="7D095B20" w:rsidR="004A63CE" w:rsidRDefault="004A63CE" w:rsidP="0080660E">
      <w:pPr>
        <w:spacing w:line="480" w:lineRule="auto"/>
        <w:ind w:firstLine="720"/>
      </w:pPr>
      <w:r>
        <w:t xml:space="preserve"> </w:t>
      </w:r>
      <w:r w:rsidR="0080660E">
        <w:t xml:space="preserve">This </w:t>
      </w:r>
      <w:r>
        <w:t xml:space="preserve">project analyzes the gambling task of the HCP Young Adult S1200 release (Van Essen et al., 2013). </w:t>
      </w:r>
      <w:r w:rsidR="00A714C0">
        <w:t>The experimental task was adapted from Delgado et al. (2000)</w:t>
      </w:r>
      <w:r w:rsidR="00E83301">
        <w:t>. Participants were instructed to guess the number on a card to win or lose money. They were told that the card number ranges from 1-9, and their task is to indicate if the number is less than 5. Participants were immediately given feedback after each trial as the correct number is shown, which included positive feedback (reward; “$1” with green arrow), negative feedback (loss; “-$0.50 with red arrow), and neutral feedback (number 5). There were two runs of the task. Within each run, there were 2 mostly reward blocks (6 reward trials paired with either 1 loss trial and 1 neutral trial, 2 loss trials, or 2 neutral trials) and 2 mostly loss blocks</w:t>
      </w:r>
      <w:r w:rsidR="00925361">
        <w:t xml:space="preserve"> (6 loss trials paired with either 1 loss trial and 1 neutral trial, 2 reward trials, or 2 neutral trials). E</w:t>
      </w:r>
      <w:r w:rsidR="00E83301">
        <w:t xml:space="preserve">ach block </w:t>
      </w:r>
      <w:r w:rsidR="00925361">
        <w:t>was consisted</w:t>
      </w:r>
      <w:r w:rsidR="00E83301">
        <w:t xml:space="preserve"> of six trials. </w:t>
      </w:r>
      <w:r w:rsidR="00925361">
        <w:t xml:space="preserve">Each trial starts with a question mark where participants were able to make a response (1500 </w:t>
      </w:r>
      <w:proofErr w:type="spellStart"/>
      <w:r w:rsidR="00925361">
        <w:t>ms</w:t>
      </w:r>
      <w:proofErr w:type="spellEnd"/>
      <w:r w:rsidR="00925361">
        <w:t xml:space="preserve">) and is followed by 1000 </w:t>
      </w:r>
      <w:proofErr w:type="spellStart"/>
      <w:r w:rsidR="00925361">
        <w:t>ms</w:t>
      </w:r>
      <w:proofErr w:type="spellEnd"/>
      <w:r w:rsidR="00925361">
        <w:t xml:space="preserve"> feedback.</w:t>
      </w:r>
    </w:p>
    <w:p w14:paraId="629960F3" w14:textId="1FCE13CE" w:rsidR="004A63CE" w:rsidRDefault="00925361" w:rsidP="0063630C">
      <w:pPr>
        <w:spacing w:line="480" w:lineRule="auto"/>
        <w:ind w:firstLine="720"/>
      </w:pPr>
      <w:r>
        <w:t xml:space="preserve">Variation between the pipelines include smoothing kernel Full-Width Half-Maximum (FWHM), the number of </w:t>
      </w:r>
      <w:proofErr w:type="gramStart"/>
      <w:r>
        <w:t>motion</w:t>
      </w:r>
      <w:proofErr w:type="gramEnd"/>
      <w:r>
        <w:t xml:space="preserve"> regressors included in the general linear model (GLM) of the first-level analysis, and the presence of the derivatives of the hemodynamic response function (HRF) in the first-level GLM. There are 2 levels of the smoothing kernel FWHM (5 mm, 8 mm), 3 levels of the number of </w:t>
      </w:r>
      <w:proofErr w:type="gramStart"/>
      <w:r>
        <w:t>motion</w:t>
      </w:r>
      <w:proofErr w:type="gramEnd"/>
      <w:r>
        <w:t xml:space="preserve"> regressors (0, 6: 3 rotations + 3 translations, 24: 3 rotations + 3 translations + 6 derivatives and the 12 corresponding squares), and 2 levels of the derivatives of the HRF (present, absent).</w:t>
      </w:r>
    </w:p>
    <w:p w14:paraId="77C41E4A" w14:textId="72683ACA" w:rsidR="001E490B" w:rsidRPr="0080660E" w:rsidRDefault="001E490B" w:rsidP="0080660E">
      <w:pPr>
        <w:spacing w:line="480" w:lineRule="auto"/>
        <w:jc w:val="center"/>
        <w:rPr>
          <w:b/>
          <w:bCs/>
        </w:rPr>
      </w:pPr>
      <w:r w:rsidRPr="0080660E">
        <w:rPr>
          <w:b/>
          <w:bCs/>
        </w:rPr>
        <w:lastRenderedPageBreak/>
        <w:t>References</w:t>
      </w:r>
    </w:p>
    <w:p w14:paraId="275F45DC" w14:textId="77777777" w:rsidR="0080660E" w:rsidRDefault="0080660E" w:rsidP="0080660E">
      <w:pPr>
        <w:spacing w:line="480" w:lineRule="auto"/>
        <w:ind w:left="480" w:hanging="480"/>
      </w:pPr>
      <w:proofErr w:type="spellStart"/>
      <w:r>
        <w:t>Botvinik-Nezer</w:t>
      </w:r>
      <w:proofErr w:type="spellEnd"/>
      <w:r>
        <w:t xml:space="preserve">, R., </w:t>
      </w:r>
      <w:proofErr w:type="spellStart"/>
      <w:r>
        <w:t>Holzmeister</w:t>
      </w:r>
      <w:proofErr w:type="spellEnd"/>
      <w:r>
        <w:t xml:space="preserve">, F., Camerer, C. F., </w:t>
      </w:r>
      <w:proofErr w:type="spellStart"/>
      <w:r>
        <w:t>Dreber</w:t>
      </w:r>
      <w:proofErr w:type="spellEnd"/>
      <w:r>
        <w:t xml:space="preserve">, A., Huber, J., </w:t>
      </w:r>
      <w:proofErr w:type="spellStart"/>
      <w:r>
        <w:t>Johannesson</w:t>
      </w:r>
      <w:proofErr w:type="spellEnd"/>
      <w:r>
        <w:t xml:space="preserve">, M., </w:t>
      </w:r>
      <w:proofErr w:type="spellStart"/>
      <w:r>
        <w:t>Kirchler</w:t>
      </w:r>
      <w:proofErr w:type="spellEnd"/>
      <w:r>
        <w:t xml:space="preserve">, M., </w:t>
      </w:r>
      <w:proofErr w:type="spellStart"/>
      <w:r>
        <w:t>Iwanir</w:t>
      </w:r>
      <w:proofErr w:type="spellEnd"/>
      <w:r>
        <w:t xml:space="preserve">, R., Mumford, J. A., Adcock, R. A., </w:t>
      </w:r>
      <w:proofErr w:type="spellStart"/>
      <w:r>
        <w:t>Avesani</w:t>
      </w:r>
      <w:proofErr w:type="spellEnd"/>
      <w:r>
        <w:t xml:space="preserve">, P., </w:t>
      </w:r>
      <w:proofErr w:type="spellStart"/>
      <w:r>
        <w:t>Baczkowski</w:t>
      </w:r>
      <w:proofErr w:type="spellEnd"/>
      <w:r>
        <w:t xml:space="preserve">, B. M., </w:t>
      </w:r>
      <w:proofErr w:type="spellStart"/>
      <w:r>
        <w:t>Bajracharya</w:t>
      </w:r>
      <w:proofErr w:type="spellEnd"/>
      <w:r>
        <w:t xml:space="preserve">, A., Bakst, L., Ball, S., </w:t>
      </w:r>
      <w:proofErr w:type="spellStart"/>
      <w:r>
        <w:t>Barilari</w:t>
      </w:r>
      <w:proofErr w:type="spellEnd"/>
      <w:r>
        <w:t xml:space="preserve">, M., </w:t>
      </w:r>
      <w:proofErr w:type="spellStart"/>
      <w:r>
        <w:t>Bault</w:t>
      </w:r>
      <w:proofErr w:type="spellEnd"/>
      <w:r>
        <w:t xml:space="preserve">, N., Beaton, D., </w:t>
      </w:r>
      <w:proofErr w:type="spellStart"/>
      <w:r>
        <w:t>Beitner</w:t>
      </w:r>
      <w:proofErr w:type="spellEnd"/>
      <w:r>
        <w:t xml:space="preserve">, J., … Schonberg, T. (2020). Variability in the analysis of a single neuroimaging dataset by many teams. </w:t>
      </w:r>
      <w:r>
        <w:rPr>
          <w:i/>
          <w:iCs/>
        </w:rPr>
        <w:t>Nature</w:t>
      </w:r>
      <w:r>
        <w:t xml:space="preserve">, </w:t>
      </w:r>
      <w:r>
        <w:rPr>
          <w:i/>
          <w:iCs/>
        </w:rPr>
        <w:t>582</w:t>
      </w:r>
      <w:r>
        <w:t xml:space="preserve">(7810), 84–88. </w:t>
      </w:r>
      <w:hyperlink r:id="rId4" w:history="1">
        <w:r>
          <w:rPr>
            <w:rStyle w:val="Hyperlink"/>
          </w:rPr>
          <w:t>https://doi.org/10.1038/s41586-020-2314-9</w:t>
        </w:r>
      </w:hyperlink>
    </w:p>
    <w:p w14:paraId="0D07C578" w14:textId="77777777" w:rsidR="0080660E" w:rsidRDefault="0080660E" w:rsidP="0080660E">
      <w:pPr>
        <w:spacing w:line="480" w:lineRule="auto"/>
        <w:ind w:left="480" w:hanging="480"/>
      </w:pPr>
      <w:proofErr w:type="spellStart"/>
      <w:r>
        <w:t>Botvinik-Nezer</w:t>
      </w:r>
      <w:proofErr w:type="spellEnd"/>
      <w:r>
        <w:t xml:space="preserve">, R., &amp; Wager, T. D. (2023). Reproducibility in Neuroimaging Analysis: Challenges and Solutions. </w:t>
      </w:r>
      <w:r>
        <w:rPr>
          <w:i/>
          <w:iCs/>
        </w:rPr>
        <w:t>Biological Psychiatry. Cognitive Neuroscience and Neuroimaging</w:t>
      </w:r>
      <w:r>
        <w:t xml:space="preserve">, </w:t>
      </w:r>
      <w:r>
        <w:rPr>
          <w:i/>
          <w:iCs/>
        </w:rPr>
        <w:t>8</w:t>
      </w:r>
      <w:r>
        <w:t xml:space="preserve">(8), 780–788. </w:t>
      </w:r>
      <w:hyperlink r:id="rId5" w:history="1">
        <w:r>
          <w:rPr>
            <w:rStyle w:val="Hyperlink"/>
          </w:rPr>
          <w:t>https://doi.org/10.1016/j.bpsc.2022.12.006</w:t>
        </w:r>
      </w:hyperlink>
    </w:p>
    <w:p w14:paraId="7E2F3713" w14:textId="77777777" w:rsidR="0080660E" w:rsidRDefault="0080660E" w:rsidP="0080660E">
      <w:pPr>
        <w:spacing w:line="480" w:lineRule="auto"/>
        <w:ind w:left="480" w:hanging="480"/>
      </w:pPr>
      <w:r>
        <w:t xml:space="preserve">Bowring, A., Nichols, T. E., &amp; </w:t>
      </w:r>
      <w:proofErr w:type="spellStart"/>
      <w:r>
        <w:t>Maumet</w:t>
      </w:r>
      <w:proofErr w:type="spellEnd"/>
      <w:r>
        <w:t xml:space="preserve">, C. (2022). Isolating the sources of pipeline-variability in group-level task-fMRI results. </w:t>
      </w:r>
      <w:r>
        <w:rPr>
          <w:i/>
          <w:iCs/>
        </w:rPr>
        <w:t>Human Brain Mapping</w:t>
      </w:r>
      <w:r>
        <w:t xml:space="preserve">, </w:t>
      </w:r>
      <w:r>
        <w:rPr>
          <w:i/>
          <w:iCs/>
        </w:rPr>
        <w:t>43</w:t>
      </w:r>
      <w:r>
        <w:t xml:space="preserve">(3), 1112–1128. </w:t>
      </w:r>
      <w:hyperlink r:id="rId6" w:history="1">
        <w:r>
          <w:rPr>
            <w:rStyle w:val="Hyperlink"/>
          </w:rPr>
          <w:t>https://doi.org/10.1002/hbm.25713</w:t>
        </w:r>
      </w:hyperlink>
    </w:p>
    <w:p w14:paraId="7460D3BA" w14:textId="77777777" w:rsidR="0080660E" w:rsidRDefault="0080660E" w:rsidP="0080660E">
      <w:pPr>
        <w:spacing w:line="480" w:lineRule="auto"/>
        <w:ind w:left="480" w:hanging="480"/>
      </w:pPr>
      <w:proofErr w:type="spellStart"/>
      <w:r>
        <w:t>Dafflon</w:t>
      </w:r>
      <w:proofErr w:type="spellEnd"/>
      <w:r>
        <w:t xml:space="preserve">, J., F. Da Costa, P., </w:t>
      </w:r>
      <w:proofErr w:type="spellStart"/>
      <w:r>
        <w:t>Váša</w:t>
      </w:r>
      <w:proofErr w:type="spellEnd"/>
      <w:r>
        <w:t xml:space="preserve">, F., Monti, R. P., </w:t>
      </w:r>
      <w:proofErr w:type="spellStart"/>
      <w:r>
        <w:t>Bzdok</w:t>
      </w:r>
      <w:proofErr w:type="spellEnd"/>
      <w:r>
        <w:t xml:space="preserve">, D., Hellyer, P. J., </w:t>
      </w:r>
      <w:proofErr w:type="spellStart"/>
      <w:r>
        <w:t>Turkheimer</w:t>
      </w:r>
      <w:proofErr w:type="spellEnd"/>
      <w:r>
        <w:t xml:space="preserve">, F., Smallwood, J., Jones, E., &amp; Leech, R. (2022). A guided multiverse study of neuroimaging analyses. </w:t>
      </w:r>
      <w:r>
        <w:rPr>
          <w:i/>
          <w:iCs/>
        </w:rPr>
        <w:t>Nature Communications</w:t>
      </w:r>
      <w:r>
        <w:t xml:space="preserve">, </w:t>
      </w:r>
      <w:r>
        <w:rPr>
          <w:i/>
          <w:iCs/>
        </w:rPr>
        <w:t>13</w:t>
      </w:r>
      <w:r>
        <w:t xml:space="preserve">(1), 3758. </w:t>
      </w:r>
      <w:hyperlink r:id="rId7" w:history="1">
        <w:r>
          <w:rPr>
            <w:rStyle w:val="Hyperlink"/>
          </w:rPr>
          <w:t>https://doi.org/10.1038/s41467-022-31347-8</w:t>
        </w:r>
      </w:hyperlink>
    </w:p>
    <w:p w14:paraId="41A78247" w14:textId="77777777" w:rsidR="0080660E" w:rsidRDefault="0080660E" w:rsidP="0080660E">
      <w:pPr>
        <w:spacing w:line="480" w:lineRule="auto"/>
        <w:ind w:left="480" w:hanging="480"/>
      </w:pPr>
      <w:r>
        <w:t xml:space="preserve">Delgado, M. R., Nystrom, L. E., </w:t>
      </w:r>
      <w:proofErr w:type="spellStart"/>
      <w:r>
        <w:t>Fissell</w:t>
      </w:r>
      <w:proofErr w:type="spellEnd"/>
      <w:r>
        <w:t xml:space="preserve">, C., Noll, D. C., &amp; </w:t>
      </w:r>
      <w:proofErr w:type="spellStart"/>
      <w:r>
        <w:t>Fiez</w:t>
      </w:r>
      <w:proofErr w:type="spellEnd"/>
      <w:r>
        <w:t xml:space="preserve">, J. A. (2000). Tracking the hemodynamic responses to reward and punishment in the striatum. </w:t>
      </w:r>
      <w:r>
        <w:rPr>
          <w:i/>
          <w:iCs/>
        </w:rPr>
        <w:t>Journal of Neurophysiology</w:t>
      </w:r>
      <w:r>
        <w:t xml:space="preserve">, </w:t>
      </w:r>
      <w:r>
        <w:rPr>
          <w:i/>
          <w:iCs/>
        </w:rPr>
        <w:t>84</w:t>
      </w:r>
      <w:r>
        <w:t xml:space="preserve">(6), 3072–3077. </w:t>
      </w:r>
      <w:hyperlink r:id="rId8" w:history="1">
        <w:r>
          <w:rPr>
            <w:rStyle w:val="Hyperlink"/>
          </w:rPr>
          <w:t>https://doi.org/10.1152/jn.2000.84.6.3072</w:t>
        </w:r>
      </w:hyperlink>
    </w:p>
    <w:p w14:paraId="523DB36F" w14:textId="77777777" w:rsidR="0080660E" w:rsidRDefault="0080660E" w:rsidP="0080660E">
      <w:pPr>
        <w:spacing w:line="480" w:lineRule="auto"/>
        <w:ind w:left="480" w:hanging="480"/>
      </w:pPr>
      <w:proofErr w:type="spellStart"/>
      <w:r w:rsidRPr="0080660E">
        <w:rPr>
          <w:lang w:val="fr-FR"/>
        </w:rPr>
        <w:t>Germani</w:t>
      </w:r>
      <w:proofErr w:type="spellEnd"/>
      <w:r w:rsidRPr="0080660E">
        <w:rPr>
          <w:lang w:val="fr-FR"/>
        </w:rPr>
        <w:t xml:space="preserve">, E., Rolland, X., Maurel, P., &amp; </w:t>
      </w:r>
      <w:proofErr w:type="spellStart"/>
      <w:r w:rsidRPr="0080660E">
        <w:rPr>
          <w:lang w:val="fr-FR"/>
        </w:rPr>
        <w:t>Maumet</w:t>
      </w:r>
      <w:proofErr w:type="spellEnd"/>
      <w:r w:rsidRPr="0080660E">
        <w:rPr>
          <w:lang w:val="fr-FR"/>
        </w:rPr>
        <w:t xml:space="preserve">, C. (2025). </w:t>
      </w:r>
      <w:r>
        <w:t xml:space="preserve">On the validity of fMRI mega-analyses using data processed with different pipelines. </w:t>
      </w:r>
      <w:r>
        <w:rPr>
          <w:i/>
          <w:iCs/>
        </w:rPr>
        <w:t>Imaging Neuroscience</w:t>
      </w:r>
      <w:r>
        <w:t xml:space="preserve">, </w:t>
      </w:r>
      <w:r>
        <w:rPr>
          <w:i/>
          <w:iCs/>
        </w:rPr>
        <w:t>3</w:t>
      </w:r>
      <w:r>
        <w:t xml:space="preserve">, imag_a_00522. </w:t>
      </w:r>
      <w:hyperlink r:id="rId9" w:history="1">
        <w:r>
          <w:rPr>
            <w:rStyle w:val="Hyperlink"/>
          </w:rPr>
          <w:t>https://doi.org/10.1162/imag_a_00522</w:t>
        </w:r>
      </w:hyperlink>
    </w:p>
    <w:p w14:paraId="24199AC5" w14:textId="77777777" w:rsidR="0080660E" w:rsidRDefault="0080660E" w:rsidP="0080660E">
      <w:pPr>
        <w:spacing w:line="480" w:lineRule="auto"/>
        <w:ind w:left="480" w:hanging="480"/>
      </w:pPr>
      <w:proofErr w:type="spellStart"/>
      <w:r>
        <w:lastRenderedPageBreak/>
        <w:t>Glatard</w:t>
      </w:r>
      <w:proofErr w:type="spellEnd"/>
      <w:r>
        <w:t xml:space="preserve">, T., Lewis, L. B., Ferreira da Silva, R., Adalat, R., Beck, N., Lepage, C., </w:t>
      </w:r>
      <w:proofErr w:type="spellStart"/>
      <w:r>
        <w:t>Rioux</w:t>
      </w:r>
      <w:proofErr w:type="spellEnd"/>
      <w:r>
        <w:t xml:space="preserve">, P., Rousseau, M.-E., </w:t>
      </w:r>
      <w:proofErr w:type="spellStart"/>
      <w:r>
        <w:t>Sherif</w:t>
      </w:r>
      <w:proofErr w:type="spellEnd"/>
      <w:r>
        <w:t xml:space="preserve">, T., </w:t>
      </w:r>
      <w:proofErr w:type="spellStart"/>
      <w:r>
        <w:t>Deelman</w:t>
      </w:r>
      <w:proofErr w:type="spellEnd"/>
      <w:r>
        <w:t>, E., Khalili-</w:t>
      </w:r>
      <w:proofErr w:type="spellStart"/>
      <w:r>
        <w:t>Mahani</w:t>
      </w:r>
      <w:proofErr w:type="spellEnd"/>
      <w:r>
        <w:t xml:space="preserve">, N., &amp; Evans, A. C. (2015). Reproducibility of neuroimaging analyses across operating systems. </w:t>
      </w:r>
      <w:r>
        <w:rPr>
          <w:i/>
          <w:iCs/>
        </w:rPr>
        <w:t xml:space="preserve">Frontiers in </w:t>
      </w:r>
      <w:proofErr w:type="spellStart"/>
      <w:r>
        <w:rPr>
          <w:i/>
          <w:iCs/>
        </w:rPr>
        <w:t>Neuroinformatics</w:t>
      </w:r>
      <w:proofErr w:type="spellEnd"/>
      <w:r>
        <w:t xml:space="preserve">, </w:t>
      </w:r>
      <w:r>
        <w:rPr>
          <w:i/>
          <w:iCs/>
        </w:rPr>
        <w:t>9</w:t>
      </w:r>
      <w:r>
        <w:t xml:space="preserve">, 12. </w:t>
      </w:r>
      <w:hyperlink r:id="rId10" w:history="1">
        <w:r>
          <w:rPr>
            <w:rStyle w:val="Hyperlink"/>
          </w:rPr>
          <w:t>https://doi.org/10.3389/fninf.2015.00012</w:t>
        </w:r>
      </w:hyperlink>
    </w:p>
    <w:p w14:paraId="05532B32" w14:textId="77777777" w:rsidR="0080660E" w:rsidRDefault="0080660E" w:rsidP="0080660E">
      <w:pPr>
        <w:spacing w:line="480" w:lineRule="auto"/>
        <w:ind w:left="480" w:hanging="480"/>
      </w:pPr>
      <w:r>
        <w:t xml:space="preserve">Klein, A., Andersson, J., </w:t>
      </w:r>
      <w:proofErr w:type="spellStart"/>
      <w:r>
        <w:t>Ardekani</w:t>
      </w:r>
      <w:proofErr w:type="spellEnd"/>
      <w:r>
        <w:t xml:space="preserve">, B. A., Ashburner, J., </w:t>
      </w:r>
      <w:proofErr w:type="spellStart"/>
      <w:r>
        <w:t>Avants</w:t>
      </w:r>
      <w:proofErr w:type="spellEnd"/>
      <w:r>
        <w:t xml:space="preserve">, B., Chiang, M.-C., Christensen, G. E., Collins, D. L., Gee, J., Hellier, P., Song, J. H., Jenkinson, M., Lepage, C., </w:t>
      </w:r>
      <w:proofErr w:type="spellStart"/>
      <w:r>
        <w:t>Rueckert</w:t>
      </w:r>
      <w:proofErr w:type="spellEnd"/>
      <w:r>
        <w:t xml:space="preserve">, D., Thompson, P., </w:t>
      </w:r>
      <w:proofErr w:type="spellStart"/>
      <w:r>
        <w:t>Vercauteren</w:t>
      </w:r>
      <w:proofErr w:type="spellEnd"/>
      <w:r>
        <w:t xml:space="preserve">, T., Woods, R. P., Mann, J. J., &amp; </w:t>
      </w:r>
      <w:proofErr w:type="spellStart"/>
      <w:r>
        <w:t>Parsey</w:t>
      </w:r>
      <w:proofErr w:type="spellEnd"/>
      <w:r>
        <w:t xml:space="preserve">, R. V. (2009). Evaluation of 14 nonlinear deformation algorithms applied to human brain MRI registration. </w:t>
      </w:r>
      <w:proofErr w:type="spellStart"/>
      <w:r>
        <w:rPr>
          <w:i/>
          <w:iCs/>
        </w:rPr>
        <w:t>NeuroImage</w:t>
      </w:r>
      <w:proofErr w:type="spellEnd"/>
      <w:r>
        <w:t xml:space="preserve">, </w:t>
      </w:r>
      <w:r>
        <w:rPr>
          <w:i/>
          <w:iCs/>
        </w:rPr>
        <w:t>46</w:t>
      </w:r>
      <w:r>
        <w:t xml:space="preserve">(3), 786–802. </w:t>
      </w:r>
      <w:hyperlink r:id="rId11" w:history="1">
        <w:r>
          <w:rPr>
            <w:rStyle w:val="Hyperlink"/>
          </w:rPr>
          <w:t>https://doi.org/10.1016/j.neuroimage.2008.12.037</w:t>
        </w:r>
      </w:hyperlink>
    </w:p>
    <w:p w14:paraId="62ACD668" w14:textId="77777777" w:rsidR="0080660E" w:rsidRDefault="0080660E" w:rsidP="0080660E">
      <w:pPr>
        <w:spacing w:line="480" w:lineRule="auto"/>
        <w:ind w:left="480" w:hanging="480"/>
      </w:pPr>
      <w:proofErr w:type="spellStart"/>
      <w:r>
        <w:t>Kristanto</w:t>
      </w:r>
      <w:proofErr w:type="spellEnd"/>
      <w:r>
        <w:t xml:space="preserve">, D., Burkhardt, M., Thiel, C., </w:t>
      </w:r>
      <w:proofErr w:type="spellStart"/>
      <w:r>
        <w:t>Debener</w:t>
      </w:r>
      <w:proofErr w:type="spellEnd"/>
      <w:r>
        <w:t xml:space="preserve">, S., </w:t>
      </w:r>
      <w:proofErr w:type="spellStart"/>
      <w:r>
        <w:t>Gießing</w:t>
      </w:r>
      <w:proofErr w:type="spellEnd"/>
      <w:r>
        <w:t xml:space="preserve">, C., &amp; Hildebrandt, A. (2024). The multiverse of data preprocessing and analysis in graph-based fMRI: A systematic literature review of analytical choices fed into a decision support tool for informed analysis. </w:t>
      </w:r>
      <w:r>
        <w:rPr>
          <w:i/>
          <w:iCs/>
        </w:rPr>
        <w:t>Neuroscience &amp; Biobehavioral Reviews</w:t>
      </w:r>
      <w:r>
        <w:t xml:space="preserve">, </w:t>
      </w:r>
      <w:r>
        <w:rPr>
          <w:i/>
          <w:iCs/>
        </w:rPr>
        <w:t>165</w:t>
      </w:r>
      <w:r>
        <w:t xml:space="preserve">, 105846. </w:t>
      </w:r>
      <w:hyperlink r:id="rId12" w:history="1">
        <w:r>
          <w:rPr>
            <w:rStyle w:val="Hyperlink"/>
          </w:rPr>
          <w:t>https://doi.org/10.1016/j.neubiorev.2024.105846</w:t>
        </w:r>
      </w:hyperlink>
    </w:p>
    <w:p w14:paraId="1BAA4B4B" w14:textId="77777777" w:rsidR="0080660E" w:rsidRDefault="0080660E" w:rsidP="0080660E">
      <w:pPr>
        <w:spacing w:line="480" w:lineRule="auto"/>
        <w:ind w:left="480" w:hanging="480"/>
      </w:pPr>
      <w:r>
        <w:t xml:space="preserve">Li, X., Esper, N. B., Ai, L., </w:t>
      </w:r>
      <w:proofErr w:type="spellStart"/>
      <w:r>
        <w:t>Giavasis</w:t>
      </w:r>
      <w:proofErr w:type="spellEnd"/>
      <w:r>
        <w:t xml:space="preserve">, S., </w:t>
      </w:r>
      <w:proofErr w:type="spellStart"/>
      <w:r>
        <w:t>Jin</w:t>
      </w:r>
      <w:proofErr w:type="spellEnd"/>
      <w:r>
        <w:t xml:space="preserve">, H., </w:t>
      </w:r>
      <w:proofErr w:type="spellStart"/>
      <w:r>
        <w:t>Feczko</w:t>
      </w:r>
      <w:proofErr w:type="spellEnd"/>
      <w:r>
        <w:t xml:space="preserve">, E., Xu, T., Clucas, J., Franco, A., </w:t>
      </w:r>
      <w:proofErr w:type="spellStart"/>
      <w:r>
        <w:t>Heinsfeld</w:t>
      </w:r>
      <w:proofErr w:type="spellEnd"/>
      <w:r>
        <w:t xml:space="preserve">, A. S., </w:t>
      </w:r>
      <w:proofErr w:type="spellStart"/>
      <w:r>
        <w:t>Adebimpe</w:t>
      </w:r>
      <w:proofErr w:type="spellEnd"/>
      <w:r>
        <w:t xml:space="preserve">, A., Vogelstein, J. T., Yan, C.-G., Esteban, O., </w:t>
      </w:r>
      <w:proofErr w:type="spellStart"/>
      <w:r>
        <w:t>Poldrack</w:t>
      </w:r>
      <w:proofErr w:type="spellEnd"/>
      <w:r>
        <w:t xml:space="preserve">, R. A., Craddock, C., Fair, D., Satterthwaite, T., </w:t>
      </w:r>
      <w:proofErr w:type="spellStart"/>
      <w:r>
        <w:t>Kiar</w:t>
      </w:r>
      <w:proofErr w:type="spellEnd"/>
      <w:r>
        <w:t xml:space="preserve">, G., &amp; </w:t>
      </w:r>
      <w:proofErr w:type="spellStart"/>
      <w:r>
        <w:t>Milham</w:t>
      </w:r>
      <w:proofErr w:type="spellEnd"/>
      <w:r>
        <w:t xml:space="preserve">, M. P. (2024). </w:t>
      </w:r>
      <w:r>
        <w:rPr>
          <w:i/>
          <w:iCs/>
        </w:rPr>
        <w:t>Moving Beyond Processing and Analysis-Related Variation in Neuroscience</w:t>
      </w:r>
      <w:r>
        <w:t xml:space="preserve"> (p. 2021.12.01.470790). </w:t>
      </w:r>
      <w:proofErr w:type="spellStart"/>
      <w:r>
        <w:t>bioRxiv</w:t>
      </w:r>
      <w:proofErr w:type="spellEnd"/>
      <w:r>
        <w:t xml:space="preserve">. </w:t>
      </w:r>
      <w:hyperlink r:id="rId13" w:history="1">
        <w:r>
          <w:rPr>
            <w:rStyle w:val="Hyperlink"/>
          </w:rPr>
          <w:t>https://doi.org/10.1101/2021.12.01.470790</w:t>
        </w:r>
      </w:hyperlink>
    </w:p>
    <w:p w14:paraId="6F174B38" w14:textId="77777777" w:rsidR="0080660E" w:rsidRDefault="0080660E" w:rsidP="0080660E">
      <w:pPr>
        <w:spacing w:line="480" w:lineRule="auto"/>
        <w:ind w:left="480" w:hanging="480"/>
      </w:pPr>
      <w:proofErr w:type="spellStart"/>
      <w:r>
        <w:t>Niso</w:t>
      </w:r>
      <w:proofErr w:type="spellEnd"/>
      <w:r>
        <w:t xml:space="preserve">, G., </w:t>
      </w:r>
      <w:proofErr w:type="spellStart"/>
      <w:r>
        <w:t>Botvinik-Nezer</w:t>
      </w:r>
      <w:proofErr w:type="spellEnd"/>
      <w:r>
        <w:t xml:space="preserve">, R., </w:t>
      </w:r>
      <w:proofErr w:type="spellStart"/>
      <w:r>
        <w:t>Appelhoff</w:t>
      </w:r>
      <w:proofErr w:type="spellEnd"/>
      <w:r>
        <w:t xml:space="preserve">, S., De La Vega, A., Esteban, O., Etzel, J. A., </w:t>
      </w:r>
      <w:proofErr w:type="spellStart"/>
      <w:r>
        <w:t>Finc</w:t>
      </w:r>
      <w:proofErr w:type="spellEnd"/>
      <w:r>
        <w:t xml:space="preserve">, K., Ganz, M., </w:t>
      </w:r>
      <w:proofErr w:type="spellStart"/>
      <w:r>
        <w:t>Gau</w:t>
      </w:r>
      <w:proofErr w:type="spellEnd"/>
      <w:r>
        <w:t xml:space="preserve">, R., </w:t>
      </w:r>
      <w:proofErr w:type="spellStart"/>
      <w:r>
        <w:t>Halchenko</w:t>
      </w:r>
      <w:proofErr w:type="spellEnd"/>
      <w:r>
        <w:t xml:space="preserve">, Y. O., </w:t>
      </w:r>
      <w:proofErr w:type="spellStart"/>
      <w:r>
        <w:t>Herholz</w:t>
      </w:r>
      <w:proofErr w:type="spellEnd"/>
      <w:r>
        <w:t xml:space="preserve">, P., </w:t>
      </w:r>
      <w:proofErr w:type="spellStart"/>
      <w:r>
        <w:t>Karakuzu</w:t>
      </w:r>
      <w:proofErr w:type="spellEnd"/>
      <w:r>
        <w:t xml:space="preserve">, A., </w:t>
      </w:r>
      <w:proofErr w:type="spellStart"/>
      <w:r>
        <w:t>Keator</w:t>
      </w:r>
      <w:proofErr w:type="spellEnd"/>
      <w:r>
        <w:t xml:space="preserve">, D. B., Markiewicz, C. J., </w:t>
      </w:r>
      <w:proofErr w:type="spellStart"/>
      <w:r>
        <w:t>Maumet</w:t>
      </w:r>
      <w:proofErr w:type="spellEnd"/>
      <w:r>
        <w:t xml:space="preserve">, C., </w:t>
      </w:r>
      <w:proofErr w:type="spellStart"/>
      <w:r>
        <w:t>Pernet</w:t>
      </w:r>
      <w:proofErr w:type="spellEnd"/>
      <w:r>
        <w:t xml:space="preserve">, C. R., </w:t>
      </w:r>
      <w:proofErr w:type="spellStart"/>
      <w:r>
        <w:t>Pestilli</w:t>
      </w:r>
      <w:proofErr w:type="spellEnd"/>
      <w:r>
        <w:t xml:space="preserve">, F., </w:t>
      </w:r>
      <w:proofErr w:type="spellStart"/>
      <w:r>
        <w:t>Queder</w:t>
      </w:r>
      <w:proofErr w:type="spellEnd"/>
      <w:r>
        <w:t xml:space="preserve">, N., Schmitt, T., … </w:t>
      </w:r>
      <w:r>
        <w:lastRenderedPageBreak/>
        <w:t xml:space="preserve">Rieger, J. W. (2022). Open and reproducible neuroimaging: From study inception to publication. </w:t>
      </w:r>
      <w:proofErr w:type="spellStart"/>
      <w:r>
        <w:rPr>
          <w:i/>
          <w:iCs/>
        </w:rPr>
        <w:t>NeuroImage</w:t>
      </w:r>
      <w:proofErr w:type="spellEnd"/>
      <w:r>
        <w:t xml:space="preserve">, </w:t>
      </w:r>
      <w:r>
        <w:rPr>
          <w:i/>
          <w:iCs/>
        </w:rPr>
        <w:t>263</w:t>
      </w:r>
      <w:r>
        <w:t xml:space="preserve">, 119623. </w:t>
      </w:r>
      <w:hyperlink r:id="rId14" w:history="1">
        <w:r>
          <w:rPr>
            <w:rStyle w:val="Hyperlink"/>
          </w:rPr>
          <w:t>https://doi.org/10.1016/j.neuroimage.2022.119623</w:t>
        </w:r>
      </w:hyperlink>
    </w:p>
    <w:p w14:paraId="6BAD8E6A" w14:textId="77777777" w:rsidR="0080660E" w:rsidRDefault="0080660E" w:rsidP="0080660E">
      <w:pPr>
        <w:spacing w:line="480" w:lineRule="auto"/>
        <w:ind w:left="480" w:hanging="480"/>
      </w:pPr>
      <w:r>
        <w:t xml:space="preserve">Oakes, T. R., Johnstone, T., Ores Walsh, K. S., </w:t>
      </w:r>
      <w:proofErr w:type="spellStart"/>
      <w:r>
        <w:t>Greischar</w:t>
      </w:r>
      <w:proofErr w:type="spellEnd"/>
      <w:r>
        <w:t xml:space="preserve">, L. L., Alexander, A. L., Fox, A. S., &amp; Davidson, R. J. (2005). Comparison of fMRI motion correction software tools. </w:t>
      </w:r>
      <w:proofErr w:type="spellStart"/>
      <w:r>
        <w:rPr>
          <w:i/>
          <w:iCs/>
        </w:rPr>
        <w:t>NeuroImage</w:t>
      </w:r>
      <w:proofErr w:type="spellEnd"/>
      <w:r>
        <w:t xml:space="preserve">, </w:t>
      </w:r>
      <w:r>
        <w:rPr>
          <w:i/>
          <w:iCs/>
        </w:rPr>
        <w:t>28</w:t>
      </w:r>
      <w:r>
        <w:t xml:space="preserve">(3), 529–543. </w:t>
      </w:r>
      <w:hyperlink r:id="rId15" w:history="1">
        <w:r>
          <w:rPr>
            <w:rStyle w:val="Hyperlink"/>
          </w:rPr>
          <w:t>https://doi.org/10.1016/j.neuroimage.2005.05.058</w:t>
        </w:r>
      </w:hyperlink>
    </w:p>
    <w:p w14:paraId="7C3D6813" w14:textId="77777777" w:rsidR="0080660E" w:rsidRDefault="0080660E" w:rsidP="0080660E">
      <w:pPr>
        <w:spacing w:line="480" w:lineRule="auto"/>
        <w:ind w:left="480" w:hanging="480"/>
      </w:pPr>
      <w:proofErr w:type="spellStart"/>
      <w:r w:rsidRPr="0080660E">
        <w:rPr>
          <w:lang w:val="es-ES"/>
        </w:rPr>
        <w:t>Palumbo</w:t>
      </w:r>
      <w:proofErr w:type="spellEnd"/>
      <w:r w:rsidRPr="0080660E">
        <w:rPr>
          <w:lang w:val="es-ES"/>
        </w:rPr>
        <w:t xml:space="preserve">, L., Bosco, P., </w:t>
      </w:r>
      <w:proofErr w:type="spellStart"/>
      <w:r w:rsidRPr="0080660E">
        <w:rPr>
          <w:lang w:val="es-ES"/>
        </w:rPr>
        <w:t>Fantacci</w:t>
      </w:r>
      <w:proofErr w:type="spellEnd"/>
      <w:r w:rsidRPr="0080660E">
        <w:rPr>
          <w:lang w:val="es-ES"/>
        </w:rPr>
        <w:t xml:space="preserve">, M. E., Ferrari, E., Oliva, P., </w:t>
      </w:r>
      <w:proofErr w:type="spellStart"/>
      <w:r w:rsidRPr="0080660E">
        <w:rPr>
          <w:lang w:val="es-ES"/>
        </w:rPr>
        <w:t>Spera</w:t>
      </w:r>
      <w:proofErr w:type="spellEnd"/>
      <w:r w:rsidRPr="0080660E">
        <w:rPr>
          <w:lang w:val="es-ES"/>
        </w:rPr>
        <w:t xml:space="preserve">, G., &amp; Retico, A. (2019). </w:t>
      </w:r>
      <w:r>
        <w:t xml:space="preserve">Evaluation of the intra- and inter-method agreement of brain MRI segmentation software packages: A comparison between SPM12 and </w:t>
      </w:r>
      <w:proofErr w:type="spellStart"/>
      <w:r>
        <w:t>FreeSurfer</w:t>
      </w:r>
      <w:proofErr w:type="spellEnd"/>
      <w:r>
        <w:t xml:space="preserve"> v6.0. </w:t>
      </w:r>
      <w:proofErr w:type="spellStart"/>
      <w:r>
        <w:rPr>
          <w:i/>
          <w:iCs/>
        </w:rPr>
        <w:t>Physica</w:t>
      </w:r>
      <w:proofErr w:type="spellEnd"/>
      <w:r>
        <w:rPr>
          <w:i/>
          <w:iCs/>
        </w:rPr>
        <w:t xml:space="preserve"> Medica: PM: An International Journal Devoted to the Applications of Physics to Medicine and Biology: Official Journal of the Italian Association of Biomedical Physics (AIFB)</w:t>
      </w:r>
      <w:r>
        <w:t xml:space="preserve">, </w:t>
      </w:r>
      <w:r>
        <w:rPr>
          <w:i/>
          <w:iCs/>
        </w:rPr>
        <w:t>64</w:t>
      </w:r>
      <w:r>
        <w:t xml:space="preserve">, 261–272. </w:t>
      </w:r>
      <w:hyperlink r:id="rId16" w:history="1">
        <w:r>
          <w:rPr>
            <w:rStyle w:val="Hyperlink"/>
          </w:rPr>
          <w:t>https://doi.org/10.1016/j.ejmp.2019.07.016</w:t>
        </w:r>
      </w:hyperlink>
    </w:p>
    <w:p w14:paraId="5ACE8C93" w14:textId="77777777" w:rsidR="0080660E" w:rsidRDefault="0080660E" w:rsidP="0080660E">
      <w:pPr>
        <w:spacing w:line="480" w:lineRule="auto"/>
        <w:ind w:left="480" w:hanging="480"/>
      </w:pPr>
      <w:r>
        <w:t xml:space="preserve">Van Essen, D. C., Smith, S. M., </w:t>
      </w:r>
      <w:proofErr w:type="spellStart"/>
      <w:r>
        <w:t>Barch</w:t>
      </w:r>
      <w:proofErr w:type="spellEnd"/>
      <w:r>
        <w:t xml:space="preserve">, D. M., Behrens, T. E. J., Yacoub, E., </w:t>
      </w:r>
      <w:proofErr w:type="spellStart"/>
      <w:r>
        <w:t>Ugurbil</w:t>
      </w:r>
      <w:proofErr w:type="spellEnd"/>
      <w:r>
        <w:t>, K., &amp; WU-</w:t>
      </w:r>
      <w:proofErr w:type="spellStart"/>
      <w:r>
        <w:t>Minn</w:t>
      </w:r>
      <w:proofErr w:type="spellEnd"/>
      <w:r>
        <w:t xml:space="preserve"> HCP Consortium. (2013). The WU-</w:t>
      </w:r>
      <w:proofErr w:type="spellStart"/>
      <w:r>
        <w:t>Minn</w:t>
      </w:r>
      <w:proofErr w:type="spellEnd"/>
      <w:r>
        <w:t xml:space="preserve"> Human Connectome Project: An overview. </w:t>
      </w:r>
      <w:proofErr w:type="spellStart"/>
      <w:r>
        <w:rPr>
          <w:i/>
          <w:iCs/>
        </w:rPr>
        <w:t>NeuroImage</w:t>
      </w:r>
      <w:proofErr w:type="spellEnd"/>
      <w:r>
        <w:t xml:space="preserve">, </w:t>
      </w:r>
      <w:r>
        <w:rPr>
          <w:i/>
          <w:iCs/>
        </w:rPr>
        <w:t>80</w:t>
      </w:r>
      <w:r>
        <w:t xml:space="preserve">, 62–79. </w:t>
      </w:r>
      <w:hyperlink r:id="rId17" w:history="1">
        <w:r>
          <w:rPr>
            <w:rStyle w:val="Hyperlink"/>
          </w:rPr>
          <w:t>https://doi.org/10.1016/j.neuroimage.2013.05.041</w:t>
        </w:r>
      </w:hyperlink>
    </w:p>
    <w:p w14:paraId="23A44D66" w14:textId="77777777" w:rsidR="0080660E" w:rsidRDefault="0080660E" w:rsidP="0080660E">
      <w:pPr>
        <w:ind w:left="480"/>
      </w:pPr>
    </w:p>
    <w:sectPr w:rsidR="00806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9B"/>
    <w:rsid w:val="00063F81"/>
    <w:rsid w:val="00074B0D"/>
    <w:rsid w:val="001E490B"/>
    <w:rsid w:val="004A63CE"/>
    <w:rsid w:val="0063630C"/>
    <w:rsid w:val="00761C9B"/>
    <w:rsid w:val="0080660E"/>
    <w:rsid w:val="00925361"/>
    <w:rsid w:val="00A0505B"/>
    <w:rsid w:val="00A714C0"/>
    <w:rsid w:val="00A82DB4"/>
    <w:rsid w:val="00B6114B"/>
    <w:rsid w:val="00C030B1"/>
    <w:rsid w:val="00E83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0893A5"/>
  <w15:chartTrackingRefBased/>
  <w15:docId w15:val="{795A14C0-4051-C748-B231-D7EE9196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6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20336">
      <w:bodyDiv w:val="1"/>
      <w:marLeft w:val="0"/>
      <w:marRight w:val="0"/>
      <w:marTop w:val="0"/>
      <w:marBottom w:val="0"/>
      <w:divBdr>
        <w:top w:val="none" w:sz="0" w:space="0" w:color="auto"/>
        <w:left w:val="none" w:sz="0" w:space="0" w:color="auto"/>
        <w:bottom w:val="none" w:sz="0" w:space="0" w:color="auto"/>
        <w:right w:val="none" w:sz="0" w:space="0" w:color="auto"/>
      </w:divBdr>
      <w:divsChild>
        <w:div w:id="1757633666">
          <w:marLeft w:val="480"/>
          <w:marRight w:val="0"/>
          <w:marTop w:val="0"/>
          <w:marBottom w:val="0"/>
          <w:divBdr>
            <w:top w:val="none" w:sz="0" w:space="0" w:color="auto"/>
            <w:left w:val="none" w:sz="0" w:space="0" w:color="auto"/>
            <w:bottom w:val="none" w:sz="0" w:space="0" w:color="auto"/>
            <w:right w:val="none" w:sz="0" w:space="0" w:color="auto"/>
          </w:divBdr>
          <w:divsChild>
            <w:div w:id="1987316213">
              <w:marLeft w:val="0"/>
              <w:marRight w:val="0"/>
              <w:marTop w:val="0"/>
              <w:marBottom w:val="0"/>
              <w:divBdr>
                <w:top w:val="none" w:sz="0" w:space="0" w:color="auto"/>
                <w:left w:val="none" w:sz="0" w:space="0" w:color="auto"/>
                <w:bottom w:val="none" w:sz="0" w:space="0" w:color="auto"/>
                <w:right w:val="none" w:sz="0" w:space="0" w:color="auto"/>
              </w:divBdr>
            </w:div>
            <w:div w:id="85007352">
              <w:marLeft w:val="0"/>
              <w:marRight w:val="0"/>
              <w:marTop w:val="0"/>
              <w:marBottom w:val="0"/>
              <w:divBdr>
                <w:top w:val="none" w:sz="0" w:space="0" w:color="auto"/>
                <w:left w:val="none" w:sz="0" w:space="0" w:color="auto"/>
                <w:bottom w:val="none" w:sz="0" w:space="0" w:color="auto"/>
                <w:right w:val="none" w:sz="0" w:space="0" w:color="auto"/>
              </w:divBdr>
            </w:div>
            <w:div w:id="475150257">
              <w:marLeft w:val="0"/>
              <w:marRight w:val="0"/>
              <w:marTop w:val="0"/>
              <w:marBottom w:val="0"/>
              <w:divBdr>
                <w:top w:val="none" w:sz="0" w:space="0" w:color="auto"/>
                <w:left w:val="none" w:sz="0" w:space="0" w:color="auto"/>
                <w:bottom w:val="none" w:sz="0" w:space="0" w:color="auto"/>
                <w:right w:val="none" w:sz="0" w:space="0" w:color="auto"/>
              </w:divBdr>
            </w:div>
            <w:div w:id="544297612">
              <w:marLeft w:val="0"/>
              <w:marRight w:val="0"/>
              <w:marTop w:val="0"/>
              <w:marBottom w:val="0"/>
              <w:divBdr>
                <w:top w:val="none" w:sz="0" w:space="0" w:color="auto"/>
                <w:left w:val="none" w:sz="0" w:space="0" w:color="auto"/>
                <w:bottom w:val="none" w:sz="0" w:space="0" w:color="auto"/>
                <w:right w:val="none" w:sz="0" w:space="0" w:color="auto"/>
              </w:divBdr>
            </w:div>
            <w:div w:id="1722365226">
              <w:marLeft w:val="0"/>
              <w:marRight w:val="0"/>
              <w:marTop w:val="0"/>
              <w:marBottom w:val="0"/>
              <w:divBdr>
                <w:top w:val="none" w:sz="0" w:space="0" w:color="auto"/>
                <w:left w:val="none" w:sz="0" w:space="0" w:color="auto"/>
                <w:bottom w:val="none" w:sz="0" w:space="0" w:color="auto"/>
                <w:right w:val="none" w:sz="0" w:space="0" w:color="auto"/>
              </w:divBdr>
            </w:div>
            <w:div w:id="525095133">
              <w:marLeft w:val="0"/>
              <w:marRight w:val="0"/>
              <w:marTop w:val="0"/>
              <w:marBottom w:val="0"/>
              <w:divBdr>
                <w:top w:val="none" w:sz="0" w:space="0" w:color="auto"/>
                <w:left w:val="none" w:sz="0" w:space="0" w:color="auto"/>
                <w:bottom w:val="none" w:sz="0" w:space="0" w:color="auto"/>
                <w:right w:val="none" w:sz="0" w:space="0" w:color="auto"/>
              </w:divBdr>
            </w:div>
            <w:div w:id="1195114739">
              <w:marLeft w:val="0"/>
              <w:marRight w:val="0"/>
              <w:marTop w:val="0"/>
              <w:marBottom w:val="0"/>
              <w:divBdr>
                <w:top w:val="none" w:sz="0" w:space="0" w:color="auto"/>
                <w:left w:val="none" w:sz="0" w:space="0" w:color="auto"/>
                <w:bottom w:val="none" w:sz="0" w:space="0" w:color="auto"/>
                <w:right w:val="none" w:sz="0" w:space="0" w:color="auto"/>
              </w:divBdr>
            </w:div>
            <w:div w:id="2004576515">
              <w:marLeft w:val="0"/>
              <w:marRight w:val="0"/>
              <w:marTop w:val="0"/>
              <w:marBottom w:val="0"/>
              <w:divBdr>
                <w:top w:val="none" w:sz="0" w:space="0" w:color="auto"/>
                <w:left w:val="none" w:sz="0" w:space="0" w:color="auto"/>
                <w:bottom w:val="none" w:sz="0" w:space="0" w:color="auto"/>
                <w:right w:val="none" w:sz="0" w:space="0" w:color="auto"/>
              </w:divBdr>
            </w:div>
            <w:div w:id="944270466">
              <w:marLeft w:val="0"/>
              <w:marRight w:val="0"/>
              <w:marTop w:val="0"/>
              <w:marBottom w:val="0"/>
              <w:divBdr>
                <w:top w:val="none" w:sz="0" w:space="0" w:color="auto"/>
                <w:left w:val="none" w:sz="0" w:space="0" w:color="auto"/>
                <w:bottom w:val="none" w:sz="0" w:space="0" w:color="auto"/>
                <w:right w:val="none" w:sz="0" w:space="0" w:color="auto"/>
              </w:divBdr>
            </w:div>
            <w:div w:id="1428575595">
              <w:marLeft w:val="0"/>
              <w:marRight w:val="0"/>
              <w:marTop w:val="0"/>
              <w:marBottom w:val="0"/>
              <w:divBdr>
                <w:top w:val="none" w:sz="0" w:space="0" w:color="auto"/>
                <w:left w:val="none" w:sz="0" w:space="0" w:color="auto"/>
                <w:bottom w:val="none" w:sz="0" w:space="0" w:color="auto"/>
                <w:right w:val="none" w:sz="0" w:space="0" w:color="auto"/>
              </w:divBdr>
            </w:div>
            <w:div w:id="67509366">
              <w:marLeft w:val="0"/>
              <w:marRight w:val="0"/>
              <w:marTop w:val="0"/>
              <w:marBottom w:val="0"/>
              <w:divBdr>
                <w:top w:val="none" w:sz="0" w:space="0" w:color="auto"/>
                <w:left w:val="none" w:sz="0" w:space="0" w:color="auto"/>
                <w:bottom w:val="none" w:sz="0" w:space="0" w:color="auto"/>
                <w:right w:val="none" w:sz="0" w:space="0" w:color="auto"/>
              </w:divBdr>
            </w:div>
            <w:div w:id="1786382865">
              <w:marLeft w:val="0"/>
              <w:marRight w:val="0"/>
              <w:marTop w:val="0"/>
              <w:marBottom w:val="0"/>
              <w:divBdr>
                <w:top w:val="none" w:sz="0" w:space="0" w:color="auto"/>
                <w:left w:val="none" w:sz="0" w:space="0" w:color="auto"/>
                <w:bottom w:val="none" w:sz="0" w:space="0" w:color="auto"/>
                <w:right w:val="none" w:sz="0" w:space="0" w:color="auto"/>
              </w:divBdr>
            </w:div>
            <w:div w:id="1245995068">
              <w:marLeft w:val="0"/>
              <w:marRight w:val="0"/>
              <w:marTop w:val="0"/>
              <w:marBottom w:val="0"/>
              <w:divBdr>
                <w:top w:val="none" w:sz="0" w:space="0" w:color="auto"/>
                <w:left w:val="none" w:sz="0" w:space="0" w:color="auto"/>
                <w:bottom w:val="none" w:sz="0" w:space="0" w:color="auto"/>
                <w:right w:val="none" w:sz="0" w:space="0" w:color="auto"/>
              </w:divBdr>
            </w:div>
            <w:div w:id="2673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2/jn.2000.84.6.3072" TargetMode="External"/><Relationship Id="rId13" Type="http://schemas.openxmlformats.org/officeDocument/2006/relationships/hyperlink" Target="https://doi.org/10.1101/2021.12.01.47079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38/s41467-022-31347-8" TargetMode="External"/><Relationship Id="rId12" Type="http://schemas.openxmlformats.org/officeDocument/2006/relationships/hyperlink" Target="https://doi.org/10.1016/j.neubiorev.2024.105846" TargetMode="External"/><Relationship Id="rId17" Type="http://schemas.openxmlformats.org/officeDocument/2006/relationships/hyperlink" Target="https://doi.org/10.1016/j.neuroimage.2013.05.041" TargetMode="External"/><Relationship Id="rId2" Type="http://schemas.openxmlformats.org/officeDocument/2006/relationships/settings" Target="settings.xml"/><Relationship Id="rId16" Type="http://schemas.openxmlformats.org/officeDocument/2006/relationships/hyperlink" Target="https://doi.org/10.1016/j.ejmp.2019.07.016" TargetMode="External"/><Relationship Id="rId1" Type="http://schemas.openxmlformats.org/officeDocument/2006/relationships/styles" Target="styles.xml"/><Relationship Id="rId6" Type="http://schemas.openxmlformats.org/officeDocument/2006/relationships/hyperlink" Target="https://doi.org/10.1002/hbm.25713" TargetMode="External"/><Relationship Id="rId11" Type="http://schemas.openxmlformats.org/officeDocument/2006/relationships/hyperlink" Target="https://doi.org/10.1016/j.neuroimage.2008.12.037" TargetMode="External"/><Relationship Id="rId5" Type="http://schemas.openxmlformats.org/officeDocument/2006/relationships/hyperlink" Target="https://doi.org/10.1016/j.bpsc.2022.12.006" TargetMode="External"/><Relationship Id="rId15" Type="http://schemas.openxmlformats.org/officeDocument/2006/relationships/hyperlink" Target="https://doi.org/10.1016/j.neuroimage.2005.05.058" TargetMode="External"/><Relationship Id="rId10" Type="http://schemas.openxmlformats.org/officeDocument/2006/relationships/hyperlink" Target="https://doi.org/10.3389/fninf.2015.00012" TargetMode="External"/><Relationship Id="rId19" Type="http://schemas.openxmlformats.org/officeDocument/2006/relationships/theme" Target="theme/theme1.xml"/><Relationship Id="rId4" Type="http://schemas.openxmlformats.org/officeDocument/2006/relationships/hyperlink" Target="https://doi.org/10.1038/s41586-020-2314-9" TargetMode="External"/><Relationship Id="rId9" Type="http://schemas.openxmlformats.org/officeDocument/2006/relationships/hyperlink" Target="https://doi.org/10.1162/imag_a_00522" TargetMode="External"/><Relationship Id="rId14" Type="http://schemas.openxmlformats.org/officeDocument/2006/relationships/hyperlink" Target="https://doi.org/10.1016/j.neuroimage.2022.119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Zhang</dc:creator>
  <cp:keywords/>
  <dc:description/>
  <cp:lastModifiedBy>Wendy Zhang</cp:lastModifiedBy>
  <cp:revision>4</cp:revision>
  <dcterms:created xsi:type="dcterms:W3CDTF">2025-10-08T02:53:00Z</dcterms:created>
  <dcterms:modified xsi:type="dcterms:W3CDTF">2025-10-08T04:46:00Z</dcterms:modified>
</cp:coreProperties>
</file>