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C6E1C">
      <w:pPr>
        <w:spacing w:before="1200"/>
        <w:jc w:val="center"/>
      </w:pPr>
      <w:r>
        <w:rPr>
          <w:rFonts w:ascii="Times New Roman" w:hAnsi="Times New Roman" w:eastAsia="黑体"/>
          <w:b/>
          <w:sz w:val="44"/>
        </w:rPr>
        <w:t>算法过程可视化系统</w:t>
      </w:r>
    </w:p>
    <w:p w14:paraId="28D70B3C">
      <w:pPr>
        <w:spacing w:before="160"/>
        <w:jc w:val="center"/>
      </w:pPr>
      <w:r>
        <w:rPr>
          <w:rFonts w:ascii="Times New Roman" w:hAnsi="Times New Roman" w:eastAsia="黑体"/>
          <w:b/>
          <w:sz w:val="44"/>
        </w:rPr>
        <w:t>需求分析文档</w:t>
      </w:r>
    </w:p>
    <w:p w14:paraId="214249CC"/>
    <w:p w14:paraId="3F457E4D"/>
    <w:p w14:paraId="4E2F937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325A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AD8A7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文档属性</w:t>
            </w:r>
          </w:p>
        </w:tc>
        <w:tc>
          <w:tcPr>
            <w:tcW w:w="6803" w:type="dxa"/>
            <w:vAlign w:val="center"/>
          </w:tcPr>
          <w:p w14:paraId="78670E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 w14:paraId="31EE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ADD53E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3E98AA2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Algorithm Process Visualization System（算法过程可视化系统）</w:t>
            </w:r>
          </w:p>
        </w:tc>
      </w:tr>
      <w:tr w14:paraId="41ED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9BCFC5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应用名称</w:t>
            </w:r>
          </w:p>
        </w:tc>
        <w:tc>
          <w:tcPr>
            <w:tcW w:w="6803" w:type="dxa"/>
            <w:vAlign w:val="center"/>
          </w:tcPr>
          <w:p w14:paraId="5AC0069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算法过程可视化系统</w:t>
            </w:r>
          </w:p>
        </w:tc>
      </w:tr>
      <w:tr w14:paraId="7D2F9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58C833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App ID</w:t>
            </w:r>
          </w:p>
        </w:tc>
        <w:tc>
          <w:tcPr>
            <w:tcW w:w="6803" w:type="dxa"/>
            <w:vAlign w:val="center"/>
          </w:tcPr>
          <w:p w14:paraId="1FF8F78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cn.algoviz.web</w:t>
            </w:r>
          </w:p>
        </w:tc>
      </w:tr>
      <w:tr w14:paraId="32D97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7317D1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编制日期</w:t>
            </w:r>
          </w:p>
        </w:tc>
        <w:tc>
          <w:tcPr>
            <w:tcW w:w="6803" w:type="dxa"/>
            <w:vAlign w:val="center"/>
          </w:tcPr>
          <w:p w14:paraId="7E10FF5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</w:tr>
      <w:tr w14:paraId="36F9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BA21B7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编制小组</w:t>
            </w:r>
          </w:p>
        </w:tc>
        <w:tc>
          <w:tcPr>
            <w:tcW w:w="6803" w:type="dxa"/>
            <w:vAlign w:val="center"/>
          </w:tcPr>
          <w:p w14:paraId="2E971B8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孟欣（组长）、李佳乐、宋启悦、冀文卓</w:t>
            </w:r>
          </w:p>
        </w:tc>
      </w:tr>
      <w:tr w14:paraId="53B2A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67D341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项目周期</w:t>
            </w:r>
          </w:p>
        </w:tc>
        <w:tc>
          <w:tcPr>
            <w:tcW w:w="6803" w:type="dxa"/>
            <w:vAlign w:val="center"/>
          </w:tcPr>
          <w:p w14:paraId="4C13447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 ~ 2026-07-02（共 2 周）</w:t>
            </w:r>
          </w:p>
        </w:tc>
      </w:tr>
      <w:tr w14:paraId="52FD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9017BD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引用规范</w:t>
            </w:r>
          </w:p>
        </w:tc>
        <w:tc>
          <w:tcPr>
            <w:tcW w:w="6803" w:type="dxa"/>
            <w:vAlign w:val="center"/>
          </w:tcPr>
          <w:p w14:paraId="1803015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OMG UML 2.5.1、DBML 1.0、IEEE 830-1998、GB/T 8567-2006、《软件工程专业毕业设计（论文）写作规范与要求(2026)》</w:t>
            </w:r>
          </w:p>
        </w:tc>
      </w:tr>
    </w:tbl>
    <w:p w14:paraId="473F5E83">
      <w:r>
        <w:br w:type="page"/>
      </w:r>
    </w:p>
    <w:p w14:paraId="20C57F84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目  录</w:t>
      </w:r>
    </w:p>
    <w:p w14:paraId="79923BBE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  问题定义</w:t>
      </w:r>
    </w:p>
    <w:p w14:paraId="2C140E46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1.1  业务/教学背景</w:t>
      </w:r>
    </w:p>
    <w:p w14:paraId="1AFF70BF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1.2  核心问题</w:t>
      </w:r>
    </w:p>
    <w:p w14:paraId="661D21BC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1.3  项目定位与边界</w:t>
      </w:r>
    </w:p>
    <w:p w14:paraId="2EC92CB3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2  可行性研究</w:t>
      </w:r>
    </w:p>
    <w:p w14:paraId="1D32E36D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2.1  技术可行性</w:t>
      </w:r>
    </w:p>
    <w:p w14:paraId="6C2F2DD5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2.2  经济可行性</w:t>
      </w:r>
    </w:p>
    <w:p w14:paraId="408DCFD5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2.3  操作可行性</w:t>
      </w:r>
    </w:p>
    <w:p w14:paraId="69A19FBF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2.4  法律/合规可行性</w:t>
      </w:r>
    </w:p>
    <w:p w14:paraId="570F8670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2.5  进度可行性</w:t>
      </w:r>
    </w:p>
    <w:p w14:paraId="545369BF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3  需求分析</w:t>
      </w:r>
    </w:p>
    <w:p w14:paraId="67E9BE20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3.1  系统目标</w:t>
      </w:r>
    </w:p>
    <w:p w14:paraId="2E97211B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3.2  用户群体</w:t>
      </w:r>
    </w:p>
    <w:p w14:paraId="21934B8E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3.3  功能需求</w:t>
      </w:r>
    </w:p>
    <w:p w14:paraId="1E0F90AE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3.4  非功能需求</w:t>
      </w:r>
    </w:p>
    <w:p w14:paraId="0CA7806B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4  UML 与数据建模</w:t>
      </w:r>
    </w:p>
    <w:p w14:paraId="6ACAB9B6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5  AI 辅助需求分析的应用</w:t>
      </w:r>
    </w:p>
    <w:p w14:paraId="0240110A"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6  附录</w:t>
      </w:r>
    </w:p>
    <w:p w14:paraId="7930E801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1  问题定义</w:t>
      </w:r>
    </w:p>
    <w:p w14:paraId="78F756D1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1.1  业务/教学背景</w:t>
      </w:r>
    </w:p>
    <w:p w14:paraId="5FDC78E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数据结构与算法是计算机相关专业的核心课程，其学习成效直接决定后续操作系统、数据库、编译原理等课程的学习深度。然而在《数据结构》课程的实际教学中，长期存在以下痛点：</w:t>
      </w:r>
    </w:p>
    <w:p w14:paraId="6D8EEF6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抽象概念难以建立心智模型：链表的指针指向、栈/队列的入出顺序、二叉树的递归遍历、Dijkstra 的松弛过程等动态行为，仅凭伪代码与静态插图难以在脑海中复现。</w:t>
      </w:r>
    </w:p>
    <w:p w14:paraId="40108E0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执行过程不可回溯：传统课堂演示一过即逝，学生在课后复习时无法逐步暂停、回放某一关键步骤；终端控制台的 printf 调试只能输出最终结果或离散日志，无法以图形方式呈现状态演变。</w:t>
      </w:r>
    </w:p>
    <w:p w14:paraId="69FD6B4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代码与图形脱节：现有 PPT 动画往往与真实代码无关，学生看到的“动画”与教材中的代码片段无法对应，造成“看动画似乎懂了，写代码又不会”的割裂感。</w:t>
      </w:r>
    </w:p>
    <w:p w14:paraId="7758A6C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测试用例难以复现：手工构造图、矩阵、稀疏矩阵等结构耗时冗长，学生在做对比实验、调参实验时缺乏可保存、可复用的测试用例库。</w:t>
      </w:r>
    </w:p>
    <w:p w14:paraId="10F5B0D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现有工具存在局限：在线可视化网站（如 visualgo、cs-visualizer）依赖网络且算法覆盖有限；桌面 IDE 调试器虽然精准但缺乏面向数据结构的可视化语义；二者皆不易二次开发与定制。</w:t>
      </w:r>
    </w:p>
    <w:p w14:paraId="52325527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1.2  核心问题</w:t>
      </w:r>
    </w:p>
    <w:p w14:paraId="1F57486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何为《数据结构》课程构建一个基于浏览器的、覆盖典型数据结构与算法的交互式实验平台，使每一行真实代码都能与可视化画布上的状态变化精确同步，并支持自定义测试数据与多档播放速度，从而真正打通“代码 — 状态 — 图形”的认知闭环？</w:t>
      </w:r>
    </w:p>
    <w:p w14:paraId="490D64BC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1.3  项目定位与边界</w:t>
      </w:r>
    </w:p>
    <w:p w14:paraId="11BCAC9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本项目定位为《数据结构》课程设计的 Web 端算法可视化实验平台，以“专用画布 + 源码级同步 + 测试数据闭环”为三大核心能力，目标用户群体为高校教师与本科生；产品对外展示名称即为“算法过程可视化系统”。</w:t>
      </w:r>
    </w:p>
    <w:p w14:paraId="02EF8727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1.3.1  项目范围（系统将提供）</w:t>
      </w:r>
    </w:p>
    <w:p w14:paraId="47BBAED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覆盖《数据结构》课程主流算法的可视化：包括线性表（顺序表/单链表/双链表/循环链表）、栈与队列（顺序表/链表/循环队列、括号匹配、表达式计算）、树结构（二叉树/哈夫曼树）、图结构（邻接矩阵/邻接表/Dijkstra 最短路径）以及典型递归与排序算法等。</w:t>
      </w:r>
    </w:p>
    <w:p w14:paraId="2DE6C40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采用 Vue.js 3 + Vite + Canvas 技术栈构建单页 Web 应用，本地开发服务器监听 5173 端口，部署形态为静态资源，可托管于校内 Web 服务器或本地直接打开。</w:t>
      </w:r>
    </w:p>
    <w:p w14:paraId="300A993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发布形式包括 Vite 构建出的静态发行包（HTML + JS + CSS）以及开发期热重载环境，适合教师课堂演示、学生课后自学与课程作业实验。</w:t>
      </w:r>
    </w:p>
    <w:p w14:paraId="391A47E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核心能力包括：算法分类目录、专用算法画布、源码级同步、测试用例选择、随机数据生成、播放/暂停/单步/重置控制、播放速度调节、当前步骤说明、复杂度展示。</w:t>
      </w:r>
    </w:p>
    <w:p w14:paraId="08E04BB9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1.3.2  边界划定原则</w:t>
      </w:r>
    </w:p>
    <w:p w14:paraId="6E84837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面向单机使用，不引入登录、云同步、社交分享等需要联网的能力。</w:t>
      </w:r>
    </w:p>
    <w:p w14:paraId="526B775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不包含算法源码的在线编译/执行能力，平台内置算法实现由开发团队预置，用户不可任意上传执行任意代码。</w:t>
      </w:r>
    </w:p>
    <w:p w14:paraId="5AE81FF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不包含课程管理（作业发布、批改、评分）功能，平台聚焦“可视化实验”而非“教学管理”。</w:t>
      </w:r>
    </w:p>
    <w:p w14:paraId="4E7AE92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不引入用户体系，不收集任何个人数据；用户输入的测试数据仅在浏览器会话中保留。</w:t>
      </w:r>
    </w:p>
    <w:p w14:paraId="704FCDD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首版不支持移动端深度适配，动画呈现质量与交互体验以桌面分辨率（≥ 1366×768）为基准。</w:t>
      </w:r>
    </w:p>
    <w:p w14:paraId="5BDD6A5B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2  可行性研究</w:t>
      </w:r>
    </w:p>
    <w:p w14:paraId="50DC4E24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2.1  技术可行性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268"/>
        <w:gridCol w:w="5046"/>
      </w:tblGrid>
      <w:tr w14:paraId="25443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74" w:type="dxa"/>
            <w:vAlign w:val="center"/>
          </w:tcPr>
          <w:p w14:paraId="11B874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关键技术</w:t>
            </w:r>
          </w:p>
        </w:tc>
        <w:tc>
          <w:tcPr>
            <w:tcW w:w="2268" w:type="dxa"/>
            <w:vAlign w:val="center"/>
          </w:tcPr>
          <w:p w14:paraId="5843B9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拟选型</w:t>
            </w:r>
          </w:p>
        </w:tc>
        <w:tc>
          <w:tcPr>
            <w:tcW w:w="5046" w:type="dxa"/>
            <w:vAlign w:val="center"/>
          </w:tcPr>
          <w:p w14:paraId="4809D5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论证说明</w:t>
            </w:r>
          </w:p>
        </w:tc>
      </w:tr>
      <w:tr w14:paraId="655B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6D0564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前端框架</w:t>
            </w:r>
          </w:p>
        </w:tc>
        <w:tc>
          <w:tcPr>
            <w:tcW w:w="2268" w:type="dxa"/>
            <w:vAlign w:val="center"/>
          </w:tcPr>
          <w:p w14:paraId="3B4895D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Vue.js 3.4 + Composition API</w:t>
            </w:r>
          </w:p>
        </w:tc>
        <w:tc>
          <w:tcPr>
            <w:tcW w:w="5046" w:type="dxa"/>
            <w:vAlign w:val="center"/>
          </w:tcPr>
          <w:p w14:paraId="5AC31FE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成熟稳定，国内高校与企业广泛采用；响应式系统天然契合“数据 → 视图”同步场景；学习曲线平缓，团队成员熟悉，风险低。</w:t>
            </w:r>
          </w:p>
        </w:tc>
      </w:tr>
      <w:tr w14:paraId="1A3EF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21DD33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构建工具</w:t>
            </w:r>
          </w:p>
        </w:tc>
        <w:tc>
          <w:tcPr>
            <w:tcW w:w="2268" w:type="dxa"/>
            <w:vAlign w:val="center"/>
          </w:tcPr>
          <w:p w14:paraId="62AAE1A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Vite 5</w:t>
            </w:r>
          </w:p>
        </w:tc>
        <w:tc>
          <w:tcPr>
            <w:tcW w:w="5046" w:type="dxa"/>
            <w:vAlign w:val="center"/>
          </w:tcPr>
          <w:p w14:paraId="12A0DA6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基于原生 ES Modules，开发期热重载快，生产期产物体积小；默认监听 5173 端口；与 Vue 生态无缝整合。</w:t>
            </w:r>
          </w:p>
        </w:tc>
      </w:tr>
      <w:tr w14:paraId="6589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2BF3A6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UI 与样式</w:t>
            </w:r>
          </w:p>
        </w:tc>
        <w:tc>
          <w:tcPr>
            <w:tcW w:w="2268" w:type="dxa"/>
            <w:vAlign w:val="center"/>
          </w:tcPr>
          <w:p w14:paraId="79E8544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原生 CSS + 定制深色主题</w:t>
            </w:r>
          </w:p>
        </w:tc>
        <w:tc>
          <w:tcPr>
            <w:tcW w:w="5046" w:type="dxa"/>
            <w:vAlign w:val="center"/>
          </w:tcPr>
          <w:p w14:paraId="2019C2C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采用统一深色主题（深蓝 #0F172A 系列），减少第三方依赖；通过 CSS 变量管理主题色，便于后续扩展浅色主题。</w:t>
            </w:r>
          </w:p>
        </w:tc>
      </w:tr>
      <w:tr w14:paraId="5AC22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FD65ED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可视化渲染</w:t>
            </w:r>
          </w:p>
        </w:tc>
        <w:tc>
          <w:tcPr>
            <w:tcW w:w="2268" w:type="dxa"/>
            <w:vAlign w:val="center"/>
          </w:tcPr>
          <w:p w14:paraId="23FC8D2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HTML5 Canvas 2D / SVG</w:t>
            </w:r>
          </w:p>
        </w:tc>
        <w:tc>
          <w:tcPr>
            <w:tcW w:w="5046" w:type="dxa"/>
            <w:vAlign w:val="center"/>
          </w:tcPr>
          <w:p w14:paraId="6D37012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Canvas 适合密集帧动画（如排序柱状图、节点遍历）；SVG 适合可点击的图节点；二者按场景互补，浏览器原生支持，零依赖。</w:t>
            </w:r>
          </w:p>
        </w:tc>
      </w:tr>
      <w:tr w14:paraId="14A59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481C31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路由</w:t>
            </w:r>
          </w:p>
        </w:tc>
        <w:tc>
          <w:tcPr>
            <w:tcW w:w="2268" w:type="dxa"/>
            <w:vAlign w:val="center"/>
          </w:tcPr>
          <w:p w14:paraId="760DDE8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Vue Router 4</w:t>
            </w:r>
          </w:p>
        </w:tc>
        <w:tc>
          <w:tcPr>
            <w:tcW w:w="5046" w:type="dxa"/>
            <w:vAlign w:val="center"/>
          </w:tcPr>
          <w:p w14:paraId="2AE2918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为不同算法分配独立路由（如 /graph/dijkstra、/sort/quick），便于地址直达与状态隔离。</w:t>
            </w:r>
          </w:p>
        </w:tc>
      </w:tr>
      <w:tr w14:paraId="60F5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76B9AC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状态管理</w:t>
            </w:r>
          </w:p>
        </w:tc>
        <w:tc>
          <w:tcPr>
            <w:tcW w:w="2268" w:type="dxa"/>
            <w:vAlign w:val="center"/>
          </w:tcPr>
          <w:p w14:paraId="7D8F19C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Pinia（或组合式 store）</w:t>
            </w:r>
          </w:p>
        </w:tc>
        <w:tc>
          <w:tcPr>
            <w:tcW w:w="5046" w:type="dxa"/>
            <w:vAlign w:val="center"/>
          </w:tcPr>
          <w:p w14:paraId="56CFD6E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管理“当前算法 / 当前步骤 / 播放状态 / 测试用例 ID”等全局状态；API 简洁，调试方便。</w:t>
            </w:r>
          </w:p>
        </w:tc>
      </w:tr>
      <w:tr w14:paraId="53CE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2AC339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数据结构</w:t>
            </w:r>
          </w:p>
        </w:tc>
        <w:tc>
          <w:tcPr>
            <w:tcW w:w="2268" w:type="dxa"/>
            <w:vAlign w:val="center"/>
          </w:tcPr>
          <w:p w14:paraId="3473A75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纯 JavaScript 对象</w:t>
            </w:r>
          </w:p>
        </w:tc>
        <w:tc>
          <w:tcPr>
            <w:tcW w:w="5046" w:type="dxa"/>
            <w:vAlign w:val="center"/>
          </w:tcPr>
          <w:p w14:paraId="11C8EA5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图、链表、树等结构均以 ES 对象表示，便于序列化保存与复现；无需引入额外库。</w:t>
            </w:r>
          </w:p>
        </w:tc>
      </w:tr>
      <w:tr w14:paraId="2FD2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45A73B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开发工具链</w:t>
            </w:r>
          </w:p>
        </w:tc>
        <w:tc>
          <w:tcPr>
            <w:tcW w:w="2268" w:type="dxa"/>
            <w:vAlign w:val="center"/>
          </w:tcPr>
          <w:p w14:paraId="74F89EB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Node.js 18 + npm + ESLint + Prettier</w:t>
            </w:r>
          </w:p>
        </w:tc>
        <w:tc>
          <w:tcPr>
            <w:tcW w:w="5046" w:type="dxa"/>
            <w:vAlign w:val="center"/>
          </w:tcPr>
          <w:p w14:paraId="47B31D7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团队采用统一格式化规则与 Lint，保证代码风格一致；成员均具备 Vue.js 项目开发经验。</w:t>
            </w:r>
          </w:p>
        </w:tc>
      </w:tr>
      <w:tr w14:paraId="72759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2FA3F0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</w:t>
            </w:r>
          </w:p>
        </w:tc>
        <w:tc>
          <w:tcPr>
            <w:tcW w:w="2268" w:type="dxa"/>
            <w:vAlign w:val="center"/>
          </w:tcPr>
          <w:p w14:paraId="2F71FE4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Vitest + 手工 E2E</w:t>
            </w:r>
          </w:p>
        </w:tc>
        <w:tc>
          <w:tcPr>
            <w:tcW w:w="5046" w:type="dxa"/>
            <w:vAlign w:val="center"/>
          </w:tcPr>
          <w:p w14:paraId="75A8CA0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Vitest 与 Vite 同源，零配置；E2E 阶段以课堂演示用例进行手工回归。</w:t>
            </w:r>
          </w:p>
        </w:tc>
      </w:tr>
    </w:tbl>
    <w:p w14:paraId="3DE63BA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结论：所选技术栈整体处于成熟稳定阶段，社区文档完整，团队成员均有相关经验，技术风险等级评定为 低；在 2 周开发周期内具备完整的技术落地条件。</w:t>
      </w:r>
    </w:p>
    <w:p w14:paraId="4798FD7A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2.2  经济可行性</w:t>
      </w:r>
    </w:p>
    <w:p w14:paraId="75CD39E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授权成本：所选 Vue.js、Vite、Vue Router、Pinia、ESLint、Prettier 等均采用 MIT/BSD/Apache-2.0 等宽松开源协议，零授权成本。</w:t>
      </w:r>
    </w:p>
    <w:p w14:paraId="3DB03E2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运维成本：Web 端应用，构建产物为纯静态文件，可托管于校内已有 Web 服务器或本地文件协议直接打开，几乎零运维成本。</w:t>
      </w:r>
    </w:p>
    <w:p w14:paraId="09817D3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硬件成本：开发机为团队成员自有设备，目标运行环境对硬件无苛刻要求（4 GB 内存即可流畅运行）。</w:t>
      </w:r>
    </w:p>
    <w:p w14:paraId="0DE1151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人力成本：4 名学生开发者在课程周期内并行投入，无额外人力支出，符合课程设计教学经费预算。</w:t>
      </w:r>
    </w:p>
    <w:p w14:paraId="3F11A22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潜在收益：① 完成《数据结构》课程设计任务并获得课程学分；② 形成可对外开源的教学辅助工具，提升团队工程化能力与作品集；③ 平台可二次扩展为更多算法的实验环境，长期复用价值高。</w:t>
      </w:r>
    </w:p>
    <w:p w14:paraId="43876AF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综上所述，项目投入产出比合理，经济可行性 充分。</w:t>
      </w:r>
    </w:p>
    <w:p w14:paraId="70998959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2.3  操作可行性</w:t>
      </w:r>
    </w:p>
    <w:p w14:paraId="383CF1C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上手难度低：用户从顶部标签或左侧目录选择算法 → 在数据区填写或随机生成数据 → 点击“使用输入” → 点击“播放”即可观看动画，整个核心闭环不超过 4 步操作。</w:t>
      </w:r>
    </w:p>
    <w:p w14:paraId="2F2440B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功能入口清晰：顶部为算法切换标签栏，左侧为输入数据 / 测试用例 / 播放控制 / 当前步骤 / 复杂度 五个面板，中央为可视化画布，按“信息密度”分区组织，避免单页过载。</w:t>
      </w:r>
    </w:p>
    <w:p w14:paraId="087CBDB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输入容错完善：输入框对非法字符、长度越界、邻接矩阵非方阵、起点/终点不存在等情况进行校验，并以红色边框 + 文案提示，立即反馈，不会因为脏数据导致动画崩溃。</w:t>
      </w:r>
    </w:p>
    <w:p w14:paraId="269E131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辅助功能丰富：随机图按钮、3 条预置测试用例（5/6/4 节点图）、播放速度滑块（约 700 ms 默认）、上一步/下一步、重置、当前步骤说明等共同降低使用门槛。</w:t>
      </w:r>
    </w:p>
    <w:p w14:paraId="6288225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学习曲线平滑：所有算法共享同一交互范式（选择 → 输入 → 播放 → 观察），用户掌握第一个算法后，其余算法的操作几乎零迁移成本。</w:t>
      </w:r>
    </w:p>
    <w:p w14:paraId="4FA837B5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2.4  法律/合规可行性</w:t>
      </w:r>
    </w:p>
    <w:p w14:paraId="7673571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开源协议兼容性：所选第三方依赖均采用 MIT、BSD、Apache-2.0 等宽松协议，彼此兼容；项目计划以 MIT License 发布。</w:t>
      </w:r>
    </w:p>
    <w:p w14:paraId="6006E07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数据隐私合规：本项目不采集、不上传、不传输任何用户个人信息；用户输入的测试数据仅在浏览器内存中存在，刷新页面即清除，符合 GDPR、《个人信息保护法》（PIPL）的数据最小化原则。</w:t>
      </w:r>
    </w:p>
    <w:p w14:paraId="53D9FEB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知识产权：所有原创算法实现、画布渲染逻辑、UI 设计均由项目组独立完成；引用第三方资源时在“关于”面板中明确署名；不抓取、不二次分发任何受保护内容。</w:t>
      </w:r>
    </w:p>
    <w:p w14:paraId="30B0298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品牌商标：产品名“算法过程可视化系统”为通用描述性名称，不与任何已注册商标冲突；Logo 与字体均来自团队自绘或采用允许商用的开源字库（如思源黑体）。</w:t>
      </w:r>
    </w:p>
    <w:p w14:paraId="3812C5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综上，项目在法律与合规层面无显著风险，可放心实施。</w:t>
      </w:r>
    </w:p>
    <w:p w14:paraId="5C5E8902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2.5  进度可行性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474"/>
        <w:gridCol w:w="5272"/>
      </w:tblGrid>
      <w:tr w14:paraId="31FC3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EE32A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阶段节点</w:t>
            </w:r>
          </w:p>
        </w:tc>
        <w:tc>
          <w:tcPr>
            <w:tcW w:w="1474" w:type="dxa"/>
            <w:vAlign w:val="center"/>
          </w:tcPr>
          <w:p w14:paraId="3DE544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截止时间</w:t>
            </w:r>
          </w:p>
        </w:tc>
        <w:tc>
          <w:tcPr>
            <w:tcW w:w="5272" w:type="dxa"/>
            <w:vAlign w:val="center"/>
          </w:tcPr>
          <w:p w14:paraId="2AC879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主要交付工作</w:t>
            </w:r>
          </w:p>
        </w:tc>
      </w:tr>
      <w:tr w14:paraId="5FA0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4A4A0E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1 — 前期准备</w:t>
            </w:r>
          </w:p>
        </w:tc>
        <w:tc>
          <w:tcPr>
            <w:tcW w:w="1474" w:type="dxa"/>
            <w:vAlign w:val="center"/>
          </w:tcPr>
          <w:p w14:paraId="45D8FFB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5272" w:type="dxa"/>
            <w:vAlign w:val="center"/>
          </w:tcPr>
          <w:p w14:paraId="44526D9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需求分析文档、可行性分析报告、技术选型报告、用例分析文档、成员分工表</w:t>
            </w:r>
          </w:p>
        </w:tc>
      </w:tr>
      <w:tr w14:paraId="4F10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2FC5EB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2 — 系统设计</w:t>
            </w:r>
          </w:p>
        </w:tc>
        <w:tc>
          <w:tcPr>
            <w:tcW w:w="1474" w:type="dxa"/>
            <w:vAlign w:val="center"/>
          </w:tcPr>
          <w:p w14:paraId="2922436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2026-06-21</w:t>
            </w:r>
          </w:p>
        </w:tc>
        <w:tc>
          <w:tcPr>
            <w:tcW w:w="5272" w:type="dxa"/>
            <w:vAlign w:val="center"/>
          </w:tcPr>
          <w:p w14:paraId="4A7010D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系统架构设计、UI 原型与组件结构、模块接口规范、数据流与状态机设计</w:t>
            </w:r>
          </w:p>
        </w:tc>
      </w:tr>
      <w:tr w14:paraId="6E564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898E96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3 — 模块开发</w:t>
            </w:r>
          </w:p>
        </w:tc>
        <w:tc>
          <w:tcPr>
            <w:tcW w:w="1474" w:type="dxa"/>
            <w:vAlign w:val="center"/>
          </w:tcPr>
          <w:p w14:paraId="55A1C16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2026-06-26</w:t>
            </w:r>
          </w:p>
        </w:tc>
        <w:tc>
          <w:tcPr>
            <w:tcW w:w="5272" w:type="dxa"/>
            <w:vAlign w:val="center"/>
          </w:tcPr>
          <w:p w14:paraId="30B350D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线性表 / 栈队列 / 树结构 / 图结构 / 排序 / 递归回溯 等可视化模块；交互组件与代码/步骤面板</w:t>
            </w:r>
          </w:p>
        </w:tc>
      </w:tr>
      <w:tr w14:paraId="3E7C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73B91A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4 — 系统集成</w:t>
            </w:r>
          </w:p>
        </w:tc>
        <w:tc>
          <w:tcPr>
            <w:tcW w:w="1474" w:type="dxa"/>
            <w:vAlign w:val="center"/>
          </w:tcPr>
          <w:p w14:paraId="1802307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2026-06-28</w:t>
            </w:r>
          </w:p>
        </w:tc>
        <w:tc>
          <w:tcPr>
            <w:tcW w:w="5272" w:type="dxa"/>
            <w:vAlign w:val="center"/>
          </w:tcPr>
          <w:p w14:paraId="01F5A98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模块联调、构建打包、性能与浏览器兼容性测试</w:t>
            </w:r>
          </w:p>
        </w:tc>
      </w:tr>
      <w:tr w14:paraId="7BE95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45E687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5 — 文档整理</w:t>
            </w:r>
          </w:p>
        </w:tc>
        <w:tc>
          <w:tcPr>
            <w:tcW w:w="1474" w:type="dxa"/>
            <w:vAlign w:val="center"/>
          </w:tcPr>
          <w:p w14:paraId="0522CC4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2026-07-01</w:t>
            </w:r>
          </w:p>
        </w:tc>
        <w:tc>
          <w:tcPr>
            <w:tcW w:w="5272" w:type="dxa"/>
            <w:vAlign w:val="center"/>
          </w:tcPr>
          <w:p w14:paraId="6343F79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用户手册、测试报告、系统实现文档、README、源码注释整理</w:t>
            </w:r>
          </w:p>
        </w:tc>
      </w:tr>
      <w:tr w14:paraId="0465E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B829BE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阶段 6 — 答辩准备</w:t>
            </w:r>
          </w:p>
        </w:tc>
        <w:tc>
          <w:tcPr>
            <w:tcW w:w="1474" w:type="dxa"/>
            <w:vAlign w:val="center"/>
          </w:tcPr>
          <w:p w14:paraId="1EA20D2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2026-07-02</w:t>
            </w:r>
          </w:p>
        </w:tc>
        <w:tc>
          <w:tcPr>
            <w:tcW w:w="5272" w:type="dxa"/>
            <w:vAlign w:val="center"/>
          </w:tcPr>
          <w:p w14:paraId="463BBBB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答辩 PPT、演示视频、源码材料包、演示脚本与问答准备</w:t>
            </w:r>
          </w:p>
        </w:tc>
      </w:tr>
    </w:tbl>
    <w:p w14:paraId="301E566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人力分工模式：组长孟欣负责系统架构、框架搭建与线性表模块；李佳乐负责栈队列模块与界面设计；宋启悦负责树结构与递归算法模块及测试体系；冀文卓负责交互组件、回溯算法模块与系统打包。并行推进策略：第 1 周第 1 天确定模块接口，使所有成员可并行开发；每日 20:00 例会同步进度并解决阻塞；组长在第 2 周第 1 天前完成主框架，使其余模块可即时集成。基于上述分工与并行策略，在 2 周周期内可按节点完成全部交付。</w:t>
      </w:r>
    </w:p>
    <w:p w14:paraId="25F9B9DA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3  需求分析</w:t>
      </w:r>
    </w:p>
    <w:p w14:paraId="1CF46BAB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3.1  系统目标</w:t>
      </w:r>
    </w:p>
    <w:p w14:paraId="1F64E90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以下目标编号以 G 开头，每条目标配套可量化的验收标准。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494"/>
        <w:gridCol w:w="5386"/>
      </w:tblGrid>
      <w:tr w14:paraId="115F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" w:type="dxa"/>
            <w:vAlign w:val="center"/>
          </w:tcPr>
          <w:p w14:paraId="321671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w="2494" w:type="dxa"/>
            <w:vAlign w:val="center"/>
          </w:tcPr>
          <w:p w14:paraId="594637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目标描述</w:t>
            </w:r>
          </w:p>
        </w:tc>
        <w:tc>
          <w:tcPr>
            <w:tcW w:w="5386" w:type="dxa"/>
            <w:vAlign w:val="center"/>
          </w:tcPr>
          <w:p w14:paraId="4D3360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度量/验收方式</w:t>
            </w:r>
          </w:p>
        </w:tc>
      </w:tr>
      <w:tr w14:paraId="6A82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3E6DF2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G1</w:t>
            </w:r>
          </w:p>
        </w:tc>
        <w:tc>
          <w:tcPr>
            <w:tcW w:w="2494" w:type="dxa"/>
            <w:vAlign w:val="center"/>
          </w:tcPr>
          <w:p w14:paraId="0291533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覆盖《数据结构》课程主流算法</w:t>
            </w:r>
          </w:p>
        </w:tc>
        <w:tc>
          <w:tcPr>
            <w:tcW w:w="5386" w:type="dxa"/>
            <w:vAlign w:val="center"/>
          </w:tcPr>
          <w:p w14:paraId="52B747F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至少实现线性表、栈队列、树结构、图结构、排序、递归回溯六大类共 20 种以上算法的可视化，每个算法均提供专用画布与代码同步。</w:t>
            </w:r>
          </w:p>
        </w:tc>
      </w:tr>
      <w:tr w14:paraId="2840C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6EFA34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G2</w:t>
            </w:r>
          </w:p>
        </w:tc>
        <w:tc>
          <w:tcPr>
            <w:tcW w:w="2494" w:type="dxa"/>
            <w:vAlign w:val="center"/>
          </w:tcPr>
          <w:p w14:paraId="67CAC6E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保证“代码 - 状态 - 画布”三方同步</w:t>
            </w:r>
          </w:p>
        </w:tc>
        <w:tc>
          <w:tcPr>
            <w:tcW w:w="5386" w:type="dxa"/>
            <w:vAlign w:val="center"/>
          </w:tcPr>
          <w:p w14:paraId="0D873AF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100% 算法支持代码行级高亮，每帧均能映射至唯一一行真实源码与一条自然语言步骤说明，且步骤序号严格单调（如 1/30、2/30 …）。</w:t>
            </w:r>
          </w:p>
        </w:tc>
      </w:tr>
      <w:tr w14:paraId="5A76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32D3443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G3</w:t>
            </w:r>
          </w:p>
        </w:tc>
        <w:tc>
          <w:tcPr>
            <w:tcW w:w="2494" w:type="dxa"/>
            <w:vAlign w:val="center"/>
          </w:tcPr>
          <w:p w14:paraId="06C4677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提供完整的播放控制</w:t>
            </w:r>
          </w:p>
        </w:tc>
        <w:tc>
          <w:tcPr>
            <w:tcW w:w="5386" w:type="dxa"/>
            <w:vAlign w:val="center"/>
          </w:tcPr>
          <w:p w14:paraId="7B32D23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支持播放/暂停、单步前进、单步后退、重置；速度滑块（默认 700 ms，可在 100–2000 ms 之间调节）；在 i5-8500U 同级硬件上单步切换响应 ≤ 200 ms。</w:t>
            </w:r>
          </w:p>
        </w:tc>
      </w:tr>
      <w:tr w14:paraId="69D0A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EACC31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G4</w:t>
            </w:r>
          </w:p>
        </w:tc>
        <w:tc>
          <w:tcPr>
            <w:tcW w:w="2494" w:type="dxa"/>
            <w:vAlign w:val="center"/>
          </w:tcPr>
          <w:p w14:paraId="4ADA622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测试数据闭环</w:t>
            </w:r>
          </w:p>
        </w:tc>
        <w:tc>
          <w:tcPr>
            <w:tcW w:w="5386" w:type="dxa"/>
            <w:vAlign w:val="center"/>
          </w:tcPr>
          <w:p w14:paraId="77F6E64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支持随机生成、手动输入、预置测试用例一键载入；每个算法不少于 3 条预置测试用例。</w:t>
            </w:r>
          </w:p>
        </w:tc>
      </w:tr>
      <w:tr w14:paraId="1A14C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C4327D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G5</w:t>
            </w:r>
          </w:p>
        </w:tc>
        <w:tc>
          <w:tcPr>
            <w:tcW w:w="2494" w:type="dxa"/>
            <w:vAlign w:val="center"/>
          </w:tcPr>
          <w:p w14:paraId="58D3C08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复杂度与步骤说明</w:t>
            </w:r>
          </w:p>
        </w:tc>
        <w:tc>
          <w:tcPr>
            <w:tcW w:w="5386" w:type="dxa"/>
            <w:vAlign w:val="center"/>
          </w:tcPr>
          <w:p w14:paraId="7E50E0C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每个算法在执行过程中实时显示时间复杂度（如 O((V+E) log V)）、空间复杂度（如 O(V)）以及当前步骤的自然语言说明。</w:t>
            </w:r>
          </w:p>
        </w:tc>
      </w:tr>
      <w:tr w14:paraId="61BE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26A7F6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G6</w:t>
            </w:r>
          </w:p>
        </w:tc>
        <w:tc>
          <w:tcPr>
            <w:tcW w:w="2494" w:type="dxa"/>
            <w:vAlign w:val="center"/>
          </w:tcPr>
          <w:p w14:paraId="1AFC161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本地离线运行</w:t>
            </w:r>
          </w:p>
        </w:tc>
        <w:tc>
          <w:tcPr>
            <w:tcW w:w="5386" w:type="dxa"/>
            <w:vAlign w:val="center"/>
          </w:tcPr>
          <w:p w14:paraId="1150D63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构建产物为纯静态文件，安装包 ≤ 50 MB；启动时间 ≤ 2 s（首次加载）；断网情况下所有功能正常工作。</w:t>
            </w:r>
          </w:p>
        </w:tc>
      </w:tr>
      <w:tr w14:paraId="74027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224BE13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G7</w:t>
            </w:r>
          </w:p>
        </w:tc>
        <w:tc>
          <w:tcPr>
            <w:tcW w:w="2494" w:type="dxa"/>
            <w:vAlign w:val="center"/>
          </w:tcPr>
          <w:p w14:paraId="49ECB596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界面统一与无障碍</w:t>
            </w:r>
          </w:p>
        </w:tc>
        <w:tc>
          <w:tcPr>
            <w:tcW w:w="5386" w:type="dxa"/>
            <w:vAlign w:val="center"/>
          </w:tcPr>
          <w:p w14:paraId="760CD7D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全平台采用统一的深色主题；通过 WCAG 2.1 AA 级色彩对比；动画可随播放进度暂停以适配晕动症用户。</w:t>
            </w:r>
          </w:p>
        </w:tc>
      </w:tr>
      <w:tr w14:paraId="6938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615673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G8</w:t>
            </w:r>
          </w:p>
        </w:tc>
        <w:tc>
          <w:tcPr>
            <w:tcW w:w="2494" w:type="dxa"/>
            <w:vAlign w:val="center"/>
          </w:tcPr>
          <w:p w14:paraId="7D0947F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可扩展架构</w:t>
            </w:r>
          </w:p>
        </w:tc>
        <w:tc>
          <w:tcPr>
            <w:tcW w:w="5386" w:type="dxa"/>
            <w:vAlign w:val="center"/>
          </w:tcPr>
          <w:p w14:paraId="3BCD764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新增一个算法仅需实现统一接口（init/step/reset）并注册到目录配置文件，框架代码零改动。</w:t>
            </w:r>
          </w:p>
        </w:tc>
      </w:tr>
    </w:tbl>
    <w:p w14:paraId="45533B58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3.2  用户群体</w:t>
      </w:r>
    </w:p>
    <w:p w14:paraId="70890C5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本系统为 单机单用户 应用，不引入账号体系；所有偏好与数据均按浏览器会话进行隔离。下列角色用于功能场景刻画与用例建模。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2835"/>
        <w:gridCol w:w="2835"/>
      </w:tblGrid>
      <w:tr w14:paraId="78350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928D1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角色标识</w:t>
            </w:r>
          </w:p>
        </w:tc>
        <w:tc>
          <w:tcPr>
            <w:tcW w:w="2268" w:type="dxa"/>
            <w:vAlign w:val="center"/>
          </w:tcPr>
          <w:p w14:paraId="1E237C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角色描述</w:t>
            </w:r>
          </w:p>
        </w:tc>
        <w:tc>
          <w:tcPr>
            <w:tcW w:w="2835" w:type="dxa"/>
            <w:vAlign w:val="center"/>
          </w:tcPr>
          <w:p w14:paraId="7CBAA6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主要使用场景</w:t>
            </w:r>
          </w:p>
        </w:tc>
        <w:tc>
          <w:tcPr>
            <w:tcW w:w="2835" w:type="dxa"/>
            <w:vAlign w:val="center"/>
          </w:tcPr>
          <w:p w14:paraId="3FA0FD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核心诉求</w:t>
            </w:r>
          </w:p>
        </w:tc>
      </w:tr>
      <w:tr w14:paraId="69DD3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vAlign w:val="center"/>
          </w:tcPr>
          <w:p w14:paraId="4E12E03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STU</w:t>
            </w:r>
          </w:p>
        </w:tc>
        <w:tc>
          <w:tcPr>
            <w:tcW w:w="2268" w:type="dxa"/>
            <w:vAlign w:val="center"/>
          </w:tcPr>
          <w:p w14:paraId="0464AC2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数据结构课程在读本科生（计算机/软件工程相关专业），编程基础初级到中级</w:t>
            </w:r>
          </w:p>
        </w:tc>
        <w:tc>
          <w:tcPr>
            <w:tcW w:w="2835" w:type="dxa"/>
            <w:vAlign w:val="center"/>
          </w:tcPr>
          <w:p w14:paraId="63362D1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课前预习链表/树/图等抽象结构；课后复习老师讲解过的算法；做课程实验时验证自己手写代码逻辑。</w:t>
            </w:r>
          </w:p>
        </w:tc>
        <w:tc>
          <w:tcPr>
            <w:tcW w:w="2835" w:type="dxa"/>
            <w:vAlign w:val="center"/>
          </w:tcPr>
          <w:p w14:paraId="46C5F4B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希望快速、直观地看到算法每一步的状态变化；能对自己的测试用例反复观察；学习曲线低。</w:t>
            </w:r>
          </w:p>
        </w:tc>
      </w:tr>
      <w:tr w14:paraId="7CF9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vAlign w:val="center"/>
          </w:tcPr>
          <w:p w14:paraId="4497155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TCH</w:t>
            </w:r>
          </w:p>
        </w:tc>
        <w:tc>
          <w:tcPr>
            <w:tcW w:w="2268" w:type="dxa"/>
            <w:vAlign w:val="center"/>
          </w:tcPr>
          <w:p w14:paraId="6BADEFE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高校《数据结构》课程任课教师或助教</w:t>
            </w:r>
          </w:p>
        </w:tc>
        <w:tc>
          <w:tcPr>
            <w:tcW w:w="2835" w:type="dxa"/>
            <w:vAlign w:val="center"/>
          </w:tcPr>
          <w:p w14:paraId="796E5C9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课堂演示、布置实验题；为学生准备多组对比示例；考前点对点辅导。</w:t>
            </w:r>
          </w:p>
        </w:tc>
        <w:tc>
          <w:tcPr>
            <w:tcW w:w="2835" w:type="dxa"/>
            <w:vAlign w:val="center"/>
          </w:tcPr>
          <w:p w14:paraId="34E55EC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演示画面美观、流畅；能保存预置课件用例；可投影到大屏不失真。</w:t>
            </w:r>
          </w:p>
        </w:tc>
      </w:tr>
      <w:tr w14:paraId="41AD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37E00A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DEV</w:t>
            </w:r>
          </w:p>
        </w:tc>
        <w:tc>
          <w:tcPr>
            <w:tcW w:w="2268" w:type="dxa"/>
            <w:vAlign w:val="center"/>
          </w:tcPr>
          <w:p w14:paraId="6166DE7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希望自学算法的在职开发者或考研学生</w:t>
            </w:r>
          </w:p>
        </w:tc>
        <w:tc>
          <w:tcPr>
            <w:tcW w:w="2835" w:type="dxa"/>
            <w:vAlign w:val="center"/>
          </w:tcPr>
          <w:p w14:paraId="2CD1EB5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工作之余复习、考研复试前突击；通过实验加深印象。</w:t>
            </w:r>
          </w:p>
        </w:tc>
        <w:tc>
          <w:tcPr>
            <w:tcW w:w="2835" w:type="dxa"/>
            <w:vAlign w:val="center"/>
          </w:tcPr>
          <w:p w14:paraId="430D5A1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完整覆盖经典算法；不依赖网络。</w:t>
            </w:r>
          </w:p>
        </w:tc>
      </w:tr>
    </w:tbl>
    <w:p w14:paraId="2734187B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3.3  功能需求</w:t>
      </w:r>
    </w:p>
    <w:p w14:paraId="44BBB2C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功能需求编号遵循 IEEE 830 风格（FR-XXX），按功能模块成组组织。</w:t>
      </w:r>
    </w:p>
    <w:p w14:paraId="713F2A42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3.3.1  模块 1：导航与布局（NAV）</w:t>
      </w:r>
    </w:p>
    <w:p w14:paraId="4116B64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FR-001：顶部导航栏自左到右依次显示：应用 Logo + 名称（“算法过程可视化系统”）、当前算法标签（如“冒泡排序 简单”、“快速排序 中等”、“Dijkstra 中等+”），用户点击标签可快速切换不同算法。</w:t>
      </w:r>
    </w:p>
    <w:p w14:paraId="6B23380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FR-002：切换算法时主区域应即时切换至对应算法画布，并保留上一算法的输入历史；切换过程必须重置当前播放状态，避免上一算法残留动画。</w:t>
      </w:r>
    </w:p>
    <w:p w14:paraId="726137F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FR-003：系统采用统一深色主题（背景 #0F172A，主色 #3B82F6，强调色 #F59E0B）；节点高亮、当前操作元素采用对比色提示（如黄色高亮当前源点）。</w:t>
      </w:r>
    </w:p>
    <w:p w14:paraId="062B8A1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FR-004：页面布局采用左右两栏：左侧固定宽度的控制面板，右侧弹性宽度的可视化画布；在窗口缩放时画布自适应。</w:t>
      </w:r>
    </w:p>
    <w:p w14:paraId="513EEEA8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3.3.2  模块 2：输入数据（DATA）</w:t>
      </w:r>
    </w:p>
    <w:p w14:paraId="78E9197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FR-010：“输入数据”面板根据当前算法类型显示不同输入控件：图算法显示节点数、源点选择、邻接边列表（每行格式“起点,终点,权重”）；排序算法显示数组输入框。</w:t>
      </w:r>
    </w:p>
    <w:p w14:paraId="6E960D1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FR-011：用户可点击“随机图/随机数据”按钮，根据当前算法生成合规数据：图算法生成连通图，数组生成指定长度的随机数组；点击“使用输入”按钮将当前输入应用到画布。</w:t>
      </w:r>
    </w:p>
    <w:p w14:paraId="5FAE854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FR-012：面板提供至少 3 条预置“测试用例”（如 5 节点图 / 6 节点图 / 4 节点图），用户点击即可一键载入对应数据。</w:t>
      </w:r>
    </w:p>
    <w:p w14:paraId="41CBA59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FR-013：系统应对非法输入（非数字、起点/终点超出节点数、空输入等）进行校验，以红色边框与文案提示用户。</w:t>
      </w:r>
    </w:p>
    <w:p w14:paraId="07ACDDCF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3.3.3  模块 3：算法可视化画布（CAN）</w:t>
      </w:r>
    </w:p>
    <w:p w14:paraId="5719B60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FR-020：系统应为每一类数据结构提供专用画布渲染器（不套用统一模板）：图算法以节点+加权边、线性表以节点+指针、栈/队列以纵/横向容器、树以分层节点、排序以柱状条带。</w:t>
      </w:r>
    </w:p>
    <w:p w14:paraId="39AB298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FR-021：画布上节点应显示节点标签（如 A、B、C）；边应显示权重；图算法的每个节点下方显示当前最短距离（如 0、∞）。</w:t>
      </w:r>
    </w:p>
    <w:p w14:paraId="5B26D8C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FR-022：在算法每一步执行时，应高亮当前操作元素：当前源点、被访问节点、被松弛的边、被比较元素等，至少使用三种以上颜色语义（默认 / 当前 / 已访问）。</w:t>
      </w:r>
    </w:p>
    <w:p w14:paraId="6238E33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FR-023：画布应在窗口尺寸变化时自适应缩放；元素过多时自动启用滚动条而非压缩元素。</w:t>
      </w:r>
    </w:p>
    <w:p w14:paraId="1CDA6DB4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3.3.4  模块 4：播放控制（PLAY）</w:t>
      </w:r>
    </w:p>
    <w:p w14:paraId="2B97579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FR-030：“播放控制”面板提供 4 个按钮：重置、上一步、播放、下一步。下方提供速度滑块（默认 700 ms，可在 100–2000 ms 间调节）。</w:t>
      </w:r>
    </w:p>
    <w:p w14:paraId="623B2E4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FR-031：面板下方实时显示当前进度（如“步骤 1 / 30”），并随播放推进自动更新。</w:t>
      </w:r>
    </w:p>
    <w:p w14:paraId="37E262B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FR-032：系统应实现状态机驱动：idle / running / paused / completed 四态可控转换；已完成状态下禁用播放与单步按钮。</w:t>
      </w:r>
    </w:p>
    <w:p w14:paraId="74EC3F2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FR-033：播放控制操作应支持键盘快捷键：Space 播放/暂停、← / → 单步、R 重置。</w:t>
      </w:r>
    </w:p>
    <w:p w14:paraId="1DB255FE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3.3.5  模块 5：当前步骤说明（STEP）</w:t>
      </w:r>
    </w:p>
    <w:p w14:paraId="1902947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FR-040：“当前步骤”面板用一段简短自然语言描述当前帧的核心操作，例如“初始化：源点 A(0)，dist[0]=0，其余为 ∞”。</w:t>
      </w:r>
    </w:p>
    <w:p w14:paraId="36D63E4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FR-041：步骤说明随播放进度实时刷新；用户可在“暂停”状态下停留观察。</w:t>
      </w:r>
    </w:p>
    <w:p w14:paraId="66C0680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FR-042：步骤说明应紧扣源码逻辑（如对应代码行的语义），便于学习者建立“代码-状态”映射。</w:t>
      </w:r>
    </w:p>
    <w:p w14:paraId="44F32DA6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3.3.6  模块 6：复杂度展示（COMP）</w:t>
      </w:r>
    </w:p>
    <w:p w14:paraId="05E472D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FR-050：“复杂度”面板始终显示当前算法的时间复杂度（如 O((V+E) log V)）与空间复杂度（如 O(V)）。</w:t>
      </w:r>
    </w:p>
    <w:p w14:paraId="490D1B6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FR-051：复杂度信息以醒目颜色显示，便于学习者一眼对比不同算法的性能差异。</w:t>
      </w:r>
    </w:p>
    <w:p w14:paraId="69DE60D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FR-052：面板支持鼠标悬浮显示复杂度推导简要说明（V 为节点数，E 为边数等）。</w:t>
      </w:r>
    </w:p>
    <w:p w14:paraId="667DE593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3.3.7  模块 7：算法目录与详情（NAV2）</w:t>
      </w:r>
    </w:p>
    <w:p w14:paraId="151AA31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FR-060：应用支持按分类（线性表 / 栈队列 / 树 / 图 / 排序 / 递归）展开算法目录，用户可点击进入对应算法画布。</w:t>
      </w:r>
    </w:p>
    <w:p w14:paraId="5130026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FR-061：每个算法应在画布顶部显示标题（如“Dijkstra 最短路径（中等+）”）和简要说明，如“贪心算法，每次从未访问节点中选择距离源点最近的节点，然后松弛其所有邻接边”。</w:t>
      </w:r>
    </w:p>
    <w:p w14:paraId="2FFFBB0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FR-062：算法名称旁的难度徽章采用文字（简单 / 中等 / 中等+ / 高），分别对应不同的颜色背景。</w:t>
      </w:r>
    </w:p>
    <w:p w14:paraId="4D52A1AB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3.4  非功能需求</w:t>
      </w:r>
    </w:p>
    <w:p w14:paraId="0DC100A0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3.4.1  性能需求</w:t>
      </w:r>
    </w:p>
    <w:p w14:paraId="26726C5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动画帧率：可视化画布在常规规模（数组长度 ≤ 100、图节点 ≤ 30、树高度 ≤ 8）下保持 ≥ 50 FPS。</w:t>
      </w:r>
    </w:p>
    <w:p w14:paraId="6AAC739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响应时间：单步切换、用例载入、面板切换响应时间 ≤ 200 ms（基于 i5-8500U / 8 GB 内存）。</w:t>
      </w:r>
    </w:p>
    <w:p w14:paraId="6376D72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启动时间：首次加载 ≤ 2 s，热加载（已缓存）≤ 1 s。</w:t>
      </w:r>
    </w:p>
    <w:p w14:paraId="2D6CA46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资源占用：浏览器进程内存 ≤ 200 MB，CPU 空闲态 ≤ 3%，播放态 ≤ 25%。</w:t>
      </w:r>
    </w:p>
    <w:p w14:paraId="3273A3B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构建产物：生产环境 JS 总大小 ≤ 1 MB（gzip 后），首屏请求数 ≤ 10。</w:t>
      </w:r>
    </w:p>
    <w:p w14:paraId="09B11672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3.4.2  兼容性需求</w:t>
      </w:r>
    </w:p>
    <w:p w14:paraId="52F9E9E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操作系统：Windows 10/11、macOS 11+、Ubuntu 20.04+ 主流发行版。</w:t>
      </w:r>
    </w:p>
    <w:p w14:paraId="249FDC0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浏览器：Chrome 100+、Firefox 100+、Edge 100+；Safari 15+；建议使用 Chromium 内核浏览器。</w:t>
      </w:r>
    </w:p>
    <w:p w14:paraId="0DA24C96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屏幕分辨率：最低支持 1366×768，推荐 1920×1080；支持高分辨率（≥ 200% 缩放）下文字与图形不失真。</w:t>
      </w:r>
    </w:p>
    <w:p w14:paraId="1835E895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硬件要求：CPU x64 双核 1.6 GHz 以上、内存 4 GB 以上、磁盘剩余 ≥ 200 MB。</w:t>
      </w:r>
    </w:p>
    <w:p w14:paraId="4CB15D9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GPU：要求支持 Canvas 2D 硬件加速，否则自动降级为低帧率渲染并提示用户。</w:t>
      </w:r>
    </w:p>
    <w:p w14:paraId="52D9E86E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3.4.3  易用性需求</w:t>
      </w:r>
    </w:p>
    <w:p w14:paraId="261B21F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交互规范：遵循平台原生快捷键习惯（Ctrl/⌘ 通用），按钮命中区域 ≥ 32×32 px；表单组件遵循统一深色主题。</w:t>
      </w:r>
    </w:p>
    <w:p w14:paraId="4C530AE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学习成本：新用户从启动到完成第一次算法播放不超过 1 分钟；首屏内有完整的可视化提示。</w:t>
      </w:r>
    </w:p>
    <w:p w14:paraId="296CACB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操作容错：所有破坏性操作（清空输入、重置）需弹窗二次确认；导入非法输入给出明确错误信息。</w:t>
      </w:r>
    </w:p>
    <w:p w14:paraId="3F4B12D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国际化预留：UI 文案集中于资源字典，便于后续接入英文等其他语言。</w:t>
      </w:r>
    </w:p>
    <w:p w14:paraId="1C3EF301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3.4.4  安全与合规需求</w:t>
      </w:r>
    </w:p>
    <w:p w14:paraId="7C29DC1A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数据本地性：用户输入的测试数据仅在当前浏览器会话中存在，不通过网络外发。</w:t>
      </w:r>
    </w:p>
    <w:p w14:paraId="19FE63C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隐私采集规则：不采集用户个人信息、不上报埋点。</w:t>
      </w:r>
    </w:p>
    <w:p w14:paraId="5ED861F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依赖供应链：定期使用 npm audit 扫描第三方依赖漏洞，CVSS ≥ 7 的高危漏洞需在 1 周内升级。</w:t>
      </w:r>
    </w:p>
    <w:p w14:paraId="1A83B79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XSS 防护：用户输入的字符串在显示前一律转义，不直接通过 v-html 渲染。</w:t>
      </w:r>
    </w:p>
    <w:p w14:paraId="586E8901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3.4.5  无障碍需求</w:t>
      </w:r>
    </w:p>
    <w:p w14:paraId="75530ED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颜色对比：在深色主题下文字与背景对比度 ≥ 4.5:1，达到 WCAG 2.1 AA 级。</w:t>
      </w:r>
    </w:p>
    <w:p w14:paraId="520F8CDB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色弱适配：高亮色不仅依赖颜色，亦伴随形状/边框变化（如选中节点同时加粗描边）。</w:t>
      </w:r>
    </w:p>
    <w:p w14:paraId="3059D63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动效适配：用户可通过暂停按钮随时停止动画，便于晕动症用户。</w:t>
      </w:r>
    </w:p>
    <w:p w14:paraId="62E2347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键盘可达：核心操作（播放/暂停、单步、切换算法）均可通过键盘完成，无需鼠标。</w:t>
      </w:r>
    </w:p>
    <w:p w14:paraId="1BC8620B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3.4.6  可维护性需求</w:t>
      </w:r>
    </w:p>
    <w:p w14:paraId="5714FDB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组件复用规则：通用控件（按钮、滑块、面板）统一封装于 components/ui/ 目录；算法组件遵循统一接口契约 { name, difficulty, complexity, render(), runStep() }。</w:t>
      </w:r>
    </w:p>
    <w:p w14:paraId="0896C58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代码规范：ESLint + Prettier 强制约束；每次提交前自动格式化。</w:t>
      </w:r>
    </w:p>
    <w:p w14:paraId="5C0AE62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命名规范：组件 PascalCase（如 LinearList.vue）；函数 camelCase；事件 kebab-case。</w:t>
      </w:r>
    </w:p>
    <w:p w14:paraId="4F23A1D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测试覆盖：核心算法逻辑单测覆盖率 ≥ 70%；关键交互手工 E2E 用例 ≥ 10 条。</w:t>
      </w:r>
    </w:p>
    <w:p w14:paraId="54AA237D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可扩展性：新增一个算法仅需实现统一接口并注册到目录配置文件，框架代码零改动。</w:t>
      </w:r>
    </w:p>
    <w:p w14:paraId="2C78266A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4  UML 与数据建模</w:t>
      </w:r>
    </w:p>
    <w:p w14:paraId="30F0DE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本章承载需求阶段的可视化建模产出，配套对应图表。</w:t>
      </w:r>
    </w:p>
    <w:p w14:paraId="381D1103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4.1  系统用例图</w:t>
      </w:r>
    </w:p>
    <w:p w14:paraId="4F41576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主参与者：学生（STU）、教师（TCH）、自学者（DEV）。核心用例包括：浏览算法目录、选择算法、输入数据、随机生成数据、载入预置用例、播放/暂停/单步、查看当前步骤说明、查看复杂度信息、切换算法。其中“首次启动引导”作为 include 关系附属于“选择算法”。</w:t>
      </w:r>
    </w:p>
    <w:p w14:paraId="2EA33EF9">
      <w:r>
        <w:drawing>
          <wp:inline distT="0" distB="0" distL="114300" distR="114300">
            <wp:extent cx="5039995" cy="34213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4FC0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4-1  系统用例图</w:t>
      </w:r>
    </w:p>
    <w:p w14:paraId="0B3B8624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4.2  整体架构图 / 包图</w:t>
      </w:r>
    </w:p>
    <w:p w14:paraId="008CE2D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采用三层 + 旁支的架构：表现层（Vue 单文件组件：Sidebar / Topbar / Canvas / Controls / DataPanel / StepPanel / ComplexityPanel）→ 领域层（algorithms/：图算法、排序、线性表、栈队列、树结构等）→ 基础设施层（router/、store/、utils/、theme/）；状态管理（Pinia）作为旁支贯通三层。三层之间通过响应式数据流与事件回调通信，避免单向耦合，保证模块可独立替换。</w:t>
      </w:r>
    </w:p>
    <w:p w14:paraId="01EF21BF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4.3  核心业务类图</w:t>
      </w:r>
    </w:p>
    <w:p w14:paraId="73C36E8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核心类：Algorithm（抽象基类，含 name、difficulty、timeComplexity、spaceComplexity、code、init、step、reset）；GraphAlgorithm（Dijkstra 等）、SortingAlgorithm（冒泡 / 快速）、LinearListAlgorithm、TreeAlgorithm、StackQueueAlgorithm 等具体子类；Tracer（步骤记录器）；Stepper（播放状态机：idle/running/paused/completed）；TestCase（输入数据 + 元信息）。类间关系：Algorithm 与 Tracer 是聚合关系；Stepper 与 Algorithm 是关联关系（一个 Stepper 可驱动一个 Algorithm 的步骤序列）。</w:t>
      </w:r>
    </w:p>
    <w:p w14:paraId="51C7DD0F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4.4  关键流程活动图</w:t>
      </w:r>
    </w:p>
    <w:p w14:paraId="77E6A49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图给出系统最核心的“算法播放主流程”活动图，覆盖从启动应用、选择算法、数据校验、构建步骤序列、渲染画布、按用户操作分支推进帧、直到全部步骤完成的全过程。决策节点（菱形）出现在“是否随机数据 / 校验通过 / 操作类型 / 是否末步”四处，充分体现了播放控制的状态分支。</w:t>
      </w:r>
    </w:p>
    <w:p w14:paraId="09A8449E">
      <w:r>
        <w:drawing>
          <wp:inline distT="0" distB="0" distL="114300" distR="114300">
            <wp:extent cx="4319905" cy="5598160"/>
            <wp:effectExtent l="0" t="0" r="1079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7369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4-2  算法播放主流程活动图</w:t>
      </w:r>
    </w:p>
    <w:p w14:paraId="39948A11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4.5  数据流图（DFD）</w:t>
      </w:r>
    </w:p>
    <w:p w14:paraId="28FFCBA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为表达系统内外的数据搬运过程，采用 Yourdon-DeMarco 风格的数据流图（DFD）。外部实体包括“用户”“浏览器屏幕”“浏览器存储”“导出数据”；内部处理 P1–P5 涵盖数据输入与校验、算法执行与追踪、渲染与同步、用例与日志管理、导出引擎；数据存储 D1（用例库 TestCase）和 D2（执行日志 ExecutionLog）。数据流以箭头命名表达流向与含义，整体形成完整闭环，无悬空数据流。</w:t>
      </w:r>
    </w:p>
    <w:p w14:paraId="2532EB15">
      <w:r>
        <w:drawing>
          <wp:inline distT="0" distB="0" distL="114300" distR="114300">
            <wp:extent cx="5039995" cy="364934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9E30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4-3  数据流图（DFD 一层展开）</w:t>
      </w:r>
    </w:p>
    <w:p w14:paraId="1D8E95D5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4.6  状态机图（播放控制）</w:t>
      </w:r>
    </w:p>
    <w:p w14:paraId="7EA18D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状态：idle、running、paused、completed。事件与转换：idle —play→ running； idle —stepForward→ paused； running —pause→ paused； paused —play→ running； running —last step done→ completed； completed —reset→ idle； 任意 —reset→ idle。</w:t>
      </w:r>
    </w:p>
    <w:p w14:paraId="282C0C79">
      <w:r>
        <w:drawing>
          <wp:inline distT="0" distB="0" distL="114300" distR="114300">
            <wp:extent cx="4679950" cy="254952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E94E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4-4  播放控制状态机图</w:t>
      </w:r>
    </w:p>
    <w:p w14:paraId="4F9A6D1E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4.7  数据模型设计：E-R 图与 DBML</w:t>
      </w:r>
    </w:p>
    <w:p w14:paraId="1676EDE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本系统的本地持久化数据建模为 4 个实体：Algorithm（算法元数据，运行时常量）、TestCase（用户保存的输入用例）、ExecutionLog（每次运行产生的执行日志）、Preference（用户偏好键值对）。其中 Algorithm ↔ TestCase 为一对多“拥有”关系；Algorithm ↔ ExecutionLog 为一对多“产生”关系；TestCase ↔ ExecutionLog 为一对多“包含”关系。</w:t>
      </w:r>
    </w:p>
    <w:p w14:paraId="3A1D8E40">
      <w:r>
        <w:drawing>
          <wp:inline distT="0" distB="0" distL="114300" distR="114300">
            <wp:extent cx="5039995" cy="3342640"/>
            <wp:effectExtent l="0" t="0" r="190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105F">
      <w:pPr>
        <w:spacing w:before="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 4-5  本地数据 E-R 图</w:t>
      </w:r>
    </w:p>
    <w:p w14:paraId="2208B79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若启用本地持久化（如 IndexedDB），主要表的 DBML 描述如下：</w:t>
      </w:r>
    </w:p>
    <w:p w14:paraId="50C7E92A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Table TestCase {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id           int [pk, increment]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algorithm_id varchar [not null]   // 算法标识，如 'graph.dijkstra'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name         varchar [not null]   // 用例名称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payload      text    [not null]   // 输入数据（JSON 字符串）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created_at   datetime [default: `now()`]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updated_at   datetime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Indexes { (algorithm_id, name) [unique] }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}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Table ExecutionLog {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id           int [pk, increment]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algorithm_id varchar [not null]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case_id      int [ref: &gt; TestCase.id, null]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steps        text [not null]      // 步骤序列（JSON）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duration_ms  int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created_at   datetime [default: `now()`]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}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Table Preference {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key   varchar [pk]   // theme / animation / shortcut / language ...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 xml:space="preserve">  value text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}</w:t>
      </w:r>
    </w:p>
    <w:p w14:paraId="5FF26EAB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5  AI 辅助需求分析的应用</w:t>
      </w:r>
    </w:p>
    <w:p w14:paraId="281CECA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本项目在需求阶段以 AI 工具作为协同生产力，把 AI 用作“能 7×24 小时陪同思考的需求工程师”，覆盖需求挖掘、用例生成、风险扫描、UML/DBML 建模、文档润色等环节。团队约定：AI 仅生成草稿与候选答案，所有产出必须经人工评审、复核与定稿后才会进入文档。</w:t>
      </w:r>
    </w:p>
    <w:p w14:paraId="77D0D2B0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5.1  应用目标与原则</w:t>
      </w:r>
    </w:p>
    <w:p w14:paraId="5527CA4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原则一“放大不替代”：AI 用于放大团队的需求覆盖度与产出速度，但不替代团队对业务的判断与决策。</w:t>
      </w:r>
    </w:p>
    <w:p w14:paraId="630B465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原则二“可追溯”：所有 AI 产出都登记在文档版本记录中，并附人工复核记录，便于回溯。</w:t>
      </w:r>
    </w:p>
    <w:p w14:paraId="273342D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原则三“分阶段使用”：需求挖掘 → 用例生成 → 风险扫描 → 建模辅助 → 文案润色，分阶段调用，避免“一锅烩”。</w:t>
      </w:r>
    </w:p>
    <w:p w14:paraId="68C849A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原则四“数据脱敏”：禁止把团队成员个人信息、未公开课题数据上传给在线 AI；本地知识脱敏后再使用。</w:t>
      </w:r>
    </w:p>
    <w:p w14:paraId="4EB0004E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5.2  应用场景与对应工具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1984"/>
        <w:gridCol w:w="1701"/>
      </w:tblGrid>
      <w:tr w14:paraId="392BD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5AB614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应用场景</w:t>
            </w:r>
          </w:p>
        </w:tc>
        <w:tc>
          <w:tcPr>
            <w:tcW w:w="3402" w:type="dxa"/>
            <w:vAlign w:val="center"/>
          </w:tcPr>
          <w:p w14:paraId="4D1863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AI 在这里做什么</w:t>
            </w:r>
          </w:p>
        </w:tc>
        <w:tc>
          <w:tcPr>
            <w:tcW w:w="1984" w:type="dxa"/>
            <w:vAlign w:val="center"/>
          </w:tcPr>
          <w:p w14:paraId="64A2F7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使用工具</w:t>
            </w:r>
          </w:p>
        </w:tc>
        <w:tc>
          <w:tcPr>
            <w:tcW w:w="1701" w:type="dxa"/>
            <w:vAlign w:val="center"/>
          </w:tcPr>
          <w:p w14:paraId="5FD1AF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采纳比例</w:t>
            </w:r>
          </w:p>
        </w:tc>
      </w:tr>
      <w:tr w14:paraId="5AB2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E4B51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需求拆解</w:t>
            </w:r>
          </w:p>
        </w:tc>
        <w:tc>
          <w:tcPr>
            <w:tcW w:w="3402" w:type="dxa"/>
            <w:vAlign w:val="center"/>
          </w:tcPr>
          <w:p w14:paraId="53C30E9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把模糊的“做一个算法可视化”愿景拆解为 7 个功能模块、30+ 条 FR。</w:t>
            </w:r>
          </w:p>
        </w:tc>
        <w:tc>
          <w:tcPr>
            <w:tcW w:w="1984" w:type="dxa"/>
            <w:vAlign w:val="center"/>
          </w:tcPr>
          <w:p w14:paraId="7C04FC7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Trae IDE / ChatGPT</w:t>
            </w:r>
          </w:p>
        </w:tc>
        <w:tc>
          <w:tcPr>
            <w:tcW w:w="1701" w:type="dxa"/>
            <w:vAlign w:val="center"/>
          </w:tcPr>
          <w:p w14:paraId="7006071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60% / 修订 30% / 剔除 10%</w:t>
            </w:r>
          </w:p>
        </w:tc>
      </w:tr>
      <w:tr w14:paraId="723D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4EE42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用例与边界条件生成</w:t>
            </w:r>
          </w:p>
        </w:tc>
        <w:tc>
          <w:tcPr>
            <w:tcW w:w="3402" w:type="dxa"/>
            <w:vAlign w:val="center"/>
          </w:tcPr>
          <w:p w14:paraId="0735D74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针对每个算法批量生成正常/边界/异常输入。</w:t>
            </w:r>
          </w:p>
        </w:tc>
        <w:tc>
          <w:tcPr>
            <w:tcW w:w="1984" w:type="dxa"/>
            <w:vAlign w:val="center"/>
          </w:tcPr>
          <w:p w14:paraId="41A4E74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Claude Code</w:t>
            </w:r>
          </w:p>
        </w:tc>
        <w:tc>
          <w:tcPr>
            <w:tcW w:w="1701" w:type="dxa"/>
            <w:vAlign w:val="center"/>
          </w:tcPr>
          <w:p w14:paraId="34C8C1F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65%</w:t>
            </w:r>
          </w:p>
        </w:tc>
      </w:tr>
      <w:tr w14:paraId="348FD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40AB4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风险点识别</w:t>
            </w:r>
          </w:p>
        </w:tc>
        <w:tc>
          <w:tcPr>
            <w:tcW w:w="3402" w:type="dxa"/>
            <w:vAlign w:val="center"/>
          </w:tcPr>
          <w:p w14:paraId="323ACB7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枚举浏览器兼容、动画性能、字体渲染、依赖供应链等可能踩坑点。</w:t>
            </w:r>
          </w:p>
        </w:tc>
        <w:tc>
          <w:tcPr>
            <w:tcW w:w="1984" w:type="dxa"/>
            <w:vAlign w:val="center"/>
          </w:tcPr>
          <w:p w14:paraId="5120007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ChatGPT</w:t>
            </w:r>
          </w:p>
        </w:tc>
        <w:tc>
          <w:tcPr>
            <w:tcW w:w="1701" w:type="dxa"/>
            <w:vAlign w:val="center"/>
          </w:tcPr>
          <w:p w14:paraId="0B0B05E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50%</w:t>
            </w:r>
          </w:p>
        </w:tc>
      </w:tr>
      <w:tr w14:paraId="296E1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A6DF8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UML / DBML 建模</w:t>
            </w:r>
          </w:p>
        </w:tc>
        <w:tc>
          <w:tcPr>
            <w:tcW w:w="3402" w:type="dxa"/>
            <w:vAlign w:val="center"/>
          </w:tcPr>
          <w:p w14:paraId="13F9D4E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依据自然语言需求生成用例图、类图、E-R 图骨架与 DBML 表。</w:t>
            </w:r>
          </w:p>
        </w:tc>
        <w:tc>
          <w:tcPr>
            <w:tcW w:w="1984" w:type="dxa"/>
            <w:vAlign w:val="center"/>
          </w:tcPr>
          <w:p w14:paraId="43AE09D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Claude Code + python-docx</w:t>
            </w:r>
          </w:p>
        </w:tc>
        <w:tc>
          <w:tcPr>
            <w:tcW w:w="1701" w:type="dxa"/>
            <w:vAlign w:val="center"/>
          </w:tcPr>
          <w:p w14:paraId="1C09696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70%</w:t>
            </w:r>
          </w:p>
        </w:tc>
      </w:tr>
      <w:tr w14:paraId="7AE0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C83E3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文档润色</w:t>
            </w:r>
          </w:p>
        </w:tc>
        <w:tc>
          <w:tcPr>
            <w:tcW w:w="3402" w:type="dxa"/>
            <w:vAlign w:val="center"/>
          </w:tcPr>
          <w:p w14:paraId="0BBBF22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对功能描述、错误提示、引导文案统一风格、纠正语病。</w:t>
            </w:r>
          </w:p>
        </w:tc>
        <w:tc>
          <w:tcPr>
            <w:tcW w:w="1984" w:type="dxa"/>
            <w:vAlign w:val="center"/>
          </w:tcPr>
          <w:p w14:paraId="7E2D4F2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ChatGPT</w:t>
            </w:r>
          </w:p>
        </w:tc>
        <w:tc>
          <w:tcPr>
            <w:tcW w:w="1701" w:type="dxa"/>
            <w:vAlign w:val="center"/>
          </w:tcPr>
          <w:p w14:paraId="72C339E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80%</w:t>
            </w:r>
          </w:p>
        </w:tc>
      </w:tr>
      <w:tr w14:paraId="550C5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218CD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可行性论证</w:t>
            </w:r>
          </w:p>
        </w:tc>
        <w:tc>
          <w:tcPr>
            <w:tcW w:w="3402" w:type="dxa"/>
            <w:vAlign w:val="center"/>
          </w:tcPr>
          <w:p w14:paraId="7D18FFE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从经济、操作、合规多维度补全可行性研究的论证逻辑。</w:t>
            </w:r>
          </w:p>
        </w:tc>
        <w:tc>
          <w:tcPr>
            <w:tcW w:w="1984" w:type="dxa"/>
            <w:vAlign w:val="center"/>
          </w:tcPr>
          <w:p w14:paraId="23F32E0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ChatGPT</w:t>
            </w:r>
          </w:p>
        </w:tc>
        <w:tc>
          <w:tcPr>
            <w:tcW w:w="1701" w:type="dxa"/>
            <w:vAlign w:val="center"/>
          </w:tcPr>
          <w:p w14:paraId="32B551B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 55%</w:t>
            </w:r>
          </w:p>
        </w:tc>
      </w:tr>
    </w:tbl>
    <w:p w14:paraId="5DA17086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5.3  工作流与示范提示词（Prompt）</w:t>
      </w:r>
    </w:p>
    <w:p w14:paraId="199CDFC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团队对 AI 的使用统一遵循“四步工作流”：① 设定角色与上下文 → ② 给出明确目标与产出格式 → ③ 提供输入材料与约束 → ④ 要求自我反思与校对。下面给出几条实际使用过的提示词模板。</w:t>
      </w:r>
    </w:p>
    <w:p w14:paraId="64B2DE1B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5.3.1  提示词 P1：需求拆解</w:t>
      </w:r>
    </w:p>
    <w:p w14:paraId="1703554E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你是一名资深需求分析师。请基于以下产品愿景：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「面向《数据结构》课程的 Web 端算法可视化实验平台，覆盖排序/线性表/栈队列/树/图/递归等算法，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提供专用画布、源码级步骤同步与测试数据闭环」。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请输出：① 不少于 6 个一级功能模块；② 每个模块下 3~5 条 IEEE 830 风格的 FR-XXX；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③ 用 Markdown 表格输出；④ 用结尾段说明你不确定的需求点（不少于 3 条）。</w:t>
      </w:r>
    </w:p>
    <w:p w14:paraId="76424D00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5.3.2  提示词 P2：用例与边界条件生成</w:t>
      </w:r>
    </w:p>
    <w:p w14:paraId="56F26512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针对“Dijkstra 最短路径可视化”模块，请生成 8 条测试用例，覆盖：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① 常规连通图（5/6/4 节点）；② 极端图（n=1、n=2、孤立节点、起点等于终点）；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③ 异常输入（含字母权重、空输入、起点超出节点数）。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对每条用例输出：用例名 / 输入数据 / 预期可视化行为 / 预期最短路径 / 说明。</w:t>
      </w:r>
    </w:p>
    <w:p w14:paraId="1584C469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5.3.3  提示词 P3：风险扫描</w:t>
      </w:r>
    </w:p>
    <w:p w14:paraId="5A03DCF8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你是一名 Vue.js + Vite 资深前端工程师。请列出本项目可能遇到的 10 个高风险点（含浏览器兼容、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Canvas 性能、依赖供应链、动画卡顿、移动端适配等），对每个风险输出：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现象 / 触发条件 / 严重程度（高/中/低）/ 缓解方案 / 备选方案。</w:t>
      </w:r>
    </w:p>
    <w:p w14:paraId="712BE0FF">
      <w:pPr>
        <w:spacing w:before="80" w:after="40" w:line="360" w:lineRule="auto"/>
        <w:ind w:firstLine="0"/>
      </w:pPr>
      <w:r>
        <w:rPr>
          <w:rFonts w:ascii="Times New Roman" w:hAnsi="Times New Roman" w:eastAsia="黑体"/>
          <w:b/>
          <w:sz w:val="24"/>
        </w:rPr>
        <w:t>5.3.4  提示词 P4：UML / DBML 骨架生成</w:t>
      </w:r>
    </w:p>
    <w:p w14:paraId="099AE891">
      <w:pPr>
        <w:spacing w:line="288" w:lineRule="auto"/>
        <w:ind w:left="480" w:firstLine="0"/>
      </w:pPr>
      <w:r>
        <w:rPr>
          <w:rFonts w:ascii="Consolas" w:hAnsi="Consolas" w:eastAsia="宋体"/>
          <w:b w:val="0"/>
          <w:sz w:val="21"/>
        </w:rPr>
        <w:t>请基于以下需求摘要：「平台需要本地保存测试用例、执行日志、用户偏好；用例归属算法；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执行日志可关联用例，亦可独立存在；偏好使用键值对存储」，输出 DBML 表结构（含主外键、索引），</w:t>
      </w:r>
      <w:r>
        <w:rPr>
          <w:rFonts w:ascii="Consolas" w:hAnsi="Consolas" w:eastAsia="宋体"/>
          <w:b w:val="0"/>
          <w:sz w:val="21"/>
        </w:rPr>
        <w:br w:type="textWrapping"/>
      </w:r>
      <w:r>
        <w:rPr>
          <w:rFonts w:ascii="Consolas" w:hAnsi="Consolas" w:eastAsia="宋体"/>
          <w:b w:val="0"/>
          <w:sz w:val="21"/>
        </w:rPr>
        <w:t>并附 PlantUML 用例图脚本，描述学生/教师/自学者对系统的核心用例。</w:t>
      </w:r>
    </w:p>
    <w:p w14:paraId="338C8AD9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5.4  AI 辅助产出清单（实物）</w:t>
      </w:r>
    </w:p>
    <w:p w14:paraId="7125DF18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FR 编号清单初稿：AI 给出 42 条，人工修改 + 扩展至 30+ 条 FR。</w:t>
      </w:r>
    </w:p>
    <w:p w14:paraId="6E5262A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Algorithm 抽象基类 JavaScript 接口骨架：含 8 个公开方法签名与文档注释。</w:t>
      </w:r>
    </w:p>
    <w:p w14:paraId="17058F0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测试用例边界条件清单：覆盖 6 类算法、共计 60+ 条用例草案，最终选 30+ 条精修后入库。</w:t>
      </w:r>
    </w:p>
    <w:p w14:paraId="61A9D50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兼容性问题预案：浏览器 Canvas 性能差异、字体渲染、依赖版本冲突等 12 条预案。</w:t>
      </w:r>
    </w:p>
    <w:p w14:paraId="4CE9A45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本文档第 2/3/4/6 章的部分二级标题与文案初稿。</w:t>
      </w:r>
    </w:p>
    <w:p w14:paraId="75738D4F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5.5  效果验证与人工复核机制</w:t>
      </w:r>
    </w:p>
    <w:p w14:paraId="4F61820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人工复核分工：组长（孟欣）逐条核对需求与功能边界、剔除 AI 幻觉项；李佳乐复核 UI/交互可行性与文案风格；宋启悦复核测试用例覆盖度与边界条件；冀文卓复核技术选型、版本号、构建链路与法律合规。</w:t>
      </w:r>
    </w:p>
    <w:p w14:paraId="7956FA2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采纳率统计：AI 草稿被原样采纳约 60%，需要修改后采纳约 30%，被剔除约 10%（多为虚构 API、不准确版本号、与课程边界冲突的功能）。</w:t>
      </w:r>
    </w:p>
    <w:p w14:paraId="3819296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三级评审：AI 产出 → 单人复核 → 组内交叉评审 → 组长定稿，确保产出质量。</w:t>
      </w:r>
    </w:p>
    <w:p w14:paraId="492A757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结论：AI 辅助显著提升了需求梳理的效率与覆盖度，但不能替代领域判断与团队对齐；在课程设计这种高强度短周期项目中，AI 的“扩展思路、补全细节、统一文风”三种能力价值最高。</w:t>
      </w:r>
    </w:p>
    <w:p w14:paraId="0B812B1B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5.6  风险与边界</w:t>
      </w:r>
    </w:p>
    <w:p w14:paraId="68D2018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幻觉风险：AI 可能给出虚构的 API、版本号或文档链接，需通过官方文档二次核实。</w:t>
      </w:r>
    </w:p>
    <w:p w14:paraId="0AA5792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版权风险：AI 生成的代码片段可能与开源代码相似，需用 GitHub 搜索或代码相似度工具自查。</w:t>
      </w:r>
    </w:p>
    <w:p w14:paraId="3AD84F97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上下文截断风险：长文档容易超出模型上下文，团队约定单次提问产出不超过 2000 字，分批迭代。</w:t>
      </w:r>
    </w:p>
    <w:p w14:paraId="1225262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4"/>
        </w:rPr>
        <w:t>● 数据合规风险：禁止将含个人信息、内部文档的内容直接发送给在线 AI，必须先脱敏。</w:t>
      </w:r>
    </w:p>
    <w:p w14:paraId="0178F4B8">
      <w:pPr>
        <w:spacing w:before="240" w:after="160" w:line="360" w:lineRule="auto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6  附录</w:t>
      </w:r>
    </w:p>
    <w:p w14:paraId="05CDCEF9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6.1  算法全量清单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4C0F5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vAlign w:val="center"/>
          </w:tcPr>
          <w:p w14:paraId="7455DC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分类</w:t>
            </w:r>
          </w:p>
        </w:tc>
        <w:tc>
          <w:tcPr>
            <w:tcW w:w="7370" w:type="dxa"/>
            <w:vAlign w:val="center"/>
          </w:tcPr>
          <w:p w14:paraId="26532A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算法清单（含难度）</w:t>
            </w:r>
          </w:p>
        </w:tc>
      </w:tr>
      <w:tr w14:paraId="3AB8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931281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线性表</w:t>
            </w:r>
          </w:p>
        </w:tc>
        <w:tc>
          <w:tcPr>
            <w:tcW w:w="7370" w:type="dxa"/>
            <w:vAlign w:val="center"/>
          </w:tcPr>
          <w:p w14:paraId="3061B7E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顺序表-数组（简单）；单链表-不带头节点（简单）；单链表-带头结点（简单）；双链表-不带头结点（中等）；双链表-带头结点（中等）；循环单链表（中等）；循环双链表（中等）</w:t>
            </w:r>
          </w:p>
        </w:tc>
      </w:tr>
      <w:tr w14:paraId="5CF8D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22AE2C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栈和队列</w:t>
            </w:r>
          </w:p>
        </w:tc>
        <w:tc>
          <w:tcPr>
            <w:tcW w:w="7370" w:type="dxa"/>
            <w:vAlign w:val="center"/>
          </w:tcPr>
          <w:p w14:paraId="27D054D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栈-顺序表（简单）；栈-链表（简单）；队列-顺序表（简单）；队列-链表（简单）；循环队列（中等）；括号匹配（简单）；表达式计算（中等）</w:t>
            </w:r>
          </w:p>
        </w:tc>
      </w:tr>
      <w:tr w14:paraId="3F70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63E9D6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树结构</w:t>
            </w:r>
          </w:p>
        </w:tc>
        <w:tc>
          <w:tcPr>
            <w:tcW w:w="7370" w:type="dxa"/>
            <w:vAlign w:val="center"/>
          </w:tcPr>
          <w:p w14:paraId="717EFED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二叉树-链式存储（简单）；二叉排序树（中等）；哈夫曼树（中等）；线索二叉树（中等）</w:t>
            </w:r>
          </w:p>
        </w:tc>
      </w:tr>
      <w:tr w14:paraId="42A7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D0E3CC2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图结构</w:t>
            </w:r>
          </w:p>
        </w:tc>
        <w:tc>
          <w:tcPr>
            <w:tcW w:w="7370" w:type="dxa"/>
            <w:vAlign w:val="center"/>
          </w:tcPr>
          <w:p w14:paraId="6BC9C48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邻接矩阵（简单）；邻接链表（简单）；BFS（中等）；DFS（中等）；Dijkstra 最短路径（中等+）</w:t>
            </w:r>
          </w:p>
        </w:tc>
      </w:tr>
      <w:tr w14:paraId="0DE2B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40AF88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排序</w:t>
            </w:r>
          </w:p>
        </w:tc>
        <w:tc>
          <w:tcPr>
            <w:tcW w:w="7370" w:type="dxa"/>
            <w:vAlign w:val="center"/>
          </w:tcPr>
          <w:p w14:paraId="6B9297A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冒泡排序（简单）；快速排序（中等）；直接插入排序（简单）；希尔排序（中等）；简单选择排序（简单）；归并排序（中等）</w:t>
            </w:r>
          </w:p>
        </w:tc>
      </w:tr>
      <w:tr w14:paraId="37FF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084243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递归与回溯</w:t>
            </w:r>
          </w:p>
        </w:tc>
        <w:tc>
          <w:tcPr>
            <w:tcW w:w="7370" w:type="dxa"/>
            <w:vAlign w:val="center"/>
          </w:tcPr>
          <w:p w14:paraId="5A3AE96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汉诺塔（中等）；棋盘覆盖（中等）；图着色（中等）；迷宫求解（中等）</w:t>
            </w:r>
          </w:p>
        </w:tc>
      </w:tr>
    </w:tbl>
    <w:p w14:paraId="32EBF85E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6.2 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166EA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43A25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术语</w:t>
            </w:r>
          </w:p>
        </w:tc>
        <w:tc>
          <w:tcPr>
            <w:tcW w:w="6803" w:type="dxa"/>
            <w:vAlign w:val="center"/>
          </w:tcPr>
          <w:p w14:paraId="4FDFB0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释义</w:t>
            </w:r>
          </w:p>
        </w:tc>
      </w:tr>
      <w:tr w14:paraId="48BAA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7E4825F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专用画布</w:t>
            </w:r>
          </w:p>
        </w:tc>
        <w:tc>
          <w:tcPr>
            <w:tcW w:w="6803" w:type="dxa"/>
            <w:vAlign w:val="center"/>
          </w:tcPr>
          <w:p w14:paraId="7F24FBF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针对每一类数据结构使用对应渲染策略的可视化区域，不套用统一模板。</w:t>
            </w:r>
          </w:p>
        </w:tc>
      </w:tr>
      <w:tr w14:paraId="29D83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F136F2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源码级步骤同步</w:t>
            </w:r>
          </w:p>
        </w:tc>
        <w:tc>
          <w:tcPr>
            <w:tcW w:w="6803" w:type="dxa"/>
            <w:vAlign w:val="center"/>
          </w:tcPr>
          <w:p w14:paraId="40C8050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每一帧动画与一行真实源码、一条自然语言步骤说明三方绑定。</w:t>
            </w:r>
          </w:p>
        </w:tc>
      </w:tr>
      <w:tr w14:paraId="5C923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3A8C6E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测试数据闭环</w:t>
            </w:r>
          </w:p>
        </w:tc>
        <w:tc>
          <w:tcPr>
            <w:tcW w:w="6803" w:type="dxa"/>
            <w:vAlign w:val="center"/>
          </w:tcPr>
          <w:p w14:paraId="3DD6A2D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支持随机生成、手动输入、用例载入、结果观察的完整数据通路。</w:t>
            </w:r>
          </w:p>
        </w:tc>
      </w:tr>
      <w:tr w14:paraId="7B9C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1B4D34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难度徽章</w:t>
            </w:r>
          </w:p>
        </w:tc>
        <w:tc>
          <w:tcPr>
            <w:tcW w:w="6803" w:type="dxa"/>
            <w:vAlign w:val="center"/>
          </w:tcPr>
          <w:p w14:paraId="2D6D632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标注算法对学习者的认知难度，分简单 / 中等 / 中等+ / 高 四档。</w:t>
            </w:r>
          </w:p>
        </w:tc>
      </w:tr>
      <w:tr w14:paraId="465C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2C6342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播放速度</w:t>
            </w:r>
          </w:p>
        </w:tc>
        <w:tc>
          <w:tcPr>
            <w:tcW w:w="6803" w:type="dxa"/>
            <w:vAlign w:val="center"/>
          </w:tcPr>
          <w:p w14:paraId="422EF11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单步切换之间的等待毫秒数，可在播放控制面板的滑块中调节。</w:t>
            </w:r>
          </w:p>
        </w:tc>
      </w:tr>
      <w:tr w14:paraId="6265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F9EB7F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状态机</w:t>
            </w:r>
          </w:p>
        </w:tc>
        <w:tc>
          <w:tcPr>
            <w:tcW w:w="6803" w:type="dxa"/>
            <w:vAlign w:val="center"/>
          </w:tcPr>
          <w:p w14:paraId="02E2792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由 idle / running / paused / completed 四个状态构成的播放控制模型。</w:t>
            </w:r>
          </w:p>
        </w:tc>
      </w:tr>
    </w:tbl>
    <w:p w14:paraId="5421D129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6.3  参考文献与引用规范</w:t>
      </w:r>
    </w:p>
    <w:p w14:paraId="453860D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[1] OMG, Unified Modeling Language Specification, Version 2.5.1, 2017.</w:t>
      </w:r>
    </w:p>
    <w:p w14:paraId="57C685A2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[2] DBML, Database Markup Language Specification 1.0, https://dbml.dbdiagram.io/.</w:t>
      </w:r>
    </w:p>
    <w:p w14:paraId="6F53F43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[3] IEEE Std 830-1998, IEEE Recommended Practice for Software Requirements Specifications.</w:t>
      </w:r>
    </w:p>
    <w:p w14:paraId="072307F9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[4] GB/T 8567-2006, 计算机软件文档编制规范.</w:t>
      </w:r>
    </w:p>
    <w:p w14:paraId="01EDC59F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[5] 太原理工大学软件学院. 软件工程专业毕业设计（论文）写作规范与要求(2026).</w:t>
      </w:r>
    </w:p>
    <w:p w14:paraId="64ADCC74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[6] Cormen T H, Leiserson C E, Rivest R L, et al. 算法导论（第 3 版）[M]. 北京: 机械工业出版社, 2013.</w:t>
      </w:r>
    </w:p>
    <w:p w14:paraId="26078DF1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[7] 严蔚敏, 吴伟民. 数据结构（C 语言版）[M]. 北京: 清华大学出版社, 2011.</w:t>
      </w:r>
    </w:p>
    <w:p w14:paraId="0864968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[8] Vue.js Documentation, https://cn.vuejs.org/.</w:t>
      </w:r>
    </w:p>
    <w:p w14:paraId="26378403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[9] Vite Documentation, https://cn.vitejs.dev/.</w:t>
      </w:r>
    </w:p>
    <w:p w14:paraId="003224A0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[10] Pinia Documentation, https://pinia.vuejs.org/zh/.</w:t>
      </w:r>
    </w:p>
    <w:p w14:paraId="74DC887C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[11] MDN Web Docs, Canvas API. https://developer.mozilla.org/zh-CN/docs/Web/API/Canvas_API.</w:t>
      </w:r>
    </w:p>
    <w:p w14:paraId="3773D28E">
      <w:pPr>
        <w:spacing w:line="360" w:lineRule="auto"/>
        <w:ind w:left="480" w:firstLine="0"/>
      </w:pPr>
      <w:r>
        <w:rPr>
          <w:rFonts w:ascii="Times New Roman" w:hAnsi="Times New Roman" w:eastAsia="宋体"/>
          <w:b w:val="0"/>
          <w:sz w:val="21"/>
        </w:rPr>
        <w:t>[12] WCAG 2.1, Web Content Accessibility Guidelines, W3C, 2018.</w:t>
      </w:r>
    </w:p>
    <w:p w14:paraId="18B23D7F">
      <w:pPr>
        <w:spacing w:before="160" w:after="80" w:line="360" w:lineRule="auto"/>
        <w:ind w:firstLine="0"/>
      </w:pPr>
      <w:r>
        <w:rPr>
          <w:rFonts w:ascii="Times New Roman" w:hAnsi="Times New Roman" w:eastAsia="黑体"/>
          <w:b/>
          <w:sz w:val="28"/>
        </w:rPr>
        <w:t>6.4  文档版本记录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474"/>
        <w:gridCol w:w="1417"/>
        <w:gridCol w:w="4989"/>
      </w:tblGrid>
      <w:tr w14:paraId="45DF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EFB99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w="1474" w:type="dxa"/>
            <w:vAlign w:val="center"/>
          </w:tcPr>
          <w:p w14:paraId="766957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w="1417" w:type="dxa"/>
            <w:vAlign w:val="center"/>
          </w:tcPr>
          <w:p w14:paraId="287F891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作者</w:t>
            </w:r>
          </w:p>
        </w:tc>
        <w:tc>
          <w:tcPr>
            <w:tcW w:w="4989" w:type="dxa"/>
            <w:vAlign w:val="center"/>
          </w:tcPr>
          <w:p w14:paraId="7100A9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变更说明</w:t>
            </w:r>
          </w:p>
        </w:tc>
      </w:tr>
      <w:tr w14:paraId="28C2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34C0AD7B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v0.1</w:t>
            </w:r>
          </w:p>
        </w:tc>
        <w:tc>
          <w:tcPr>
            <w:tcW w:w="1474" w:type="dxa"/>
            <w:vAlign w:val="center"/>
          </w:tcPr>
          <w:p w14:paraId="179AD70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4E838FC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孟欣</w:t>
            </w:r>
          </w:p>
        </w:tc>
        <w:tc>
          <w:tcPr>
            <w:tcW w:w="4989" w:type="dxa"/>
            <w:vAlign w:val="center"/>
          </w:tcPr>
          <w:p w14:paraId="53526EF3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初稿：完成第 1~6 章基础内容，建立全部 FR 编号与系统目标 G 编号。</w:t>
            </w:r>
          </w:p>
        </w:tc>
      </w:tr>
      <w:tr w14:paraId="11418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0E069C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v0.2</w:t>
            </w:r>
          </w:p>
        </w:tc>
        <w:tc>
          <w:tcPr>
            <w:tcW w:w="1474" w:type="dxa"/>
            <w:vAlign w:val="center"/>
          </w:tcPr>
          <w:p w14:paraId="2F76D0E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792243ED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李佳乐</w:t>
            </w:r>
          </w:p>
        </w:tc>
        <w:tc>
          <w:tcPr>
            <w:tcW w:w="4989" w:type="dxa"/>
            <w:vAlign w:val="center"/>
          </w:tcPr>
          <w:p w14:paraId="0E69A40A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补充非功能需求（性能/兼容/无障碍）与可行性研究 2.2 / 2.3 节。</w:t>
            </w:r>
          </w:p>
        </w:tc>
      </w:tr>
      <w:tr w14:paraId="774E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33D79645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v0.3</w:t>
            </w:r>
          </w:p>
        </w:tc>
        <w:tc>
          <w:tcPr>
            <w:tcW w:w="1474" w:type="dxa"/>
            <w:vAlign w:val="center"/>
          </w:tcPr>
          <w:p w14:paraId="286B21F1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69BBD95E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宋启悦</w:t>
            </w:r>
          </w:p>
        </w:tc>
        <w:tc>
          <w:tcPr>
            <w:tcW w:w="4989" w:type="dxa"/>
            <w:vAlign w:val="center"/>
          </w:tcPr>
          <w:p w14:paraId="23009C2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完善 UML 与数据建模章节，补充用例边界与术语表。</w:t>
            </w:r>
          </w:p>
        </w:tc>
      </w:tr>
      <w:tr w14:paraId="19F9B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41D2AAC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v0.4</w:t>
            </w:r>
          </w:p>
        </w:tc>
        <w:tc>
          <w:tcPr>
            <w:tcW w:w="1474" w:type="dxa"/>
            <w:vAlign w:val="center"/>
          </w:tcPr>
          <w:p w14:paraId="51D2E23C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6A343904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冀文卓</w:t>
            </w:r>
          </w:p>
        </w:tc>
        <w:tc>
          <w:tcPr>
            <w:tcW w:w="4989" w:type="dxa"/>
            <w:vAlign w:val="center"/>
          </w:tcPr>
          <w:p w14:paraId="4356DC20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补充技术可行性表格、AI 辅助章节与参考文献。</w:t>
            </w:r>
          </w:p>
        </w:tc>
      </w:tr>
      <w:tr w14:paraId="4B36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555146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w="1474" w:type="dxa"/>
            <w:vAlign w:val="center"/>
          </w:tcPr>
          <w:p w14:paraId="44F36978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w="1417" w:type="dxa"/>
            <w:vAlign w:val="center"/>
          </w:tcPr>
          <w:p w14:paraId="18BB8C89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孟欣</w:t>
            </w:r>
          </w:p>
        </w:tc>
        <w:tc>
          <w:tcPr>
            <w:tcW w:w="4989" w:type="dxa"/>
            <w:vAlign w:val="center"/>
          </w:tcPr>
          <w:p w14:paraId="1E4BB4B7">
            <w:pPr>
              <w:spacing w:after="0" w:line="312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全文按学校论文规范统稿，调整字体字号字重与页边距，提交团队评审。</w:t>
            </w:r>
          </w:p>
        </w:tc>
      </w:tr>
    </w:tbl>
    <w:p w14:paraId="362A1386"/>
    <w:p w14:paraId="173BB0D4">
      <w:bookmarkStart w:id="0" w:name="_GoBack"/>
      <w:bookmarkEnd w:id="0"/>
    </w:p>
    <w:sectPr>
      <w:footerReference r:id="rId5" w:type="default"/>
      <w:pgSz w:w="12240" w:h="15840"/>
      <w:pgMar w:top="1871" w:right="1304" w:bottom="130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D5FC0">
    <w:pPr>
      <w:pStyle w:val="24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PAGE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042789"/>
    <w:rsid w:val="6DF2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4561</Words>
  <Characters>5277</Characters>
  <Lines>0</Lines>
  <Paragraphs>0</Paragraphs>
  <TotalTime>0</TotalTime>
  <ScaleCrop>false</ScaleCrop>
  <LinksUpToDate>false</LinksUpToDate>
  <CharactersWithSpaces>5694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梦屿千寻</cp:lastModifiedBy>
  <dcterms:modified xsi:type="dcterms:W3CDTF">2026-06-19T15:44:29Z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eyJoZGlkIjoiNTJmMTkxNTkzYzYxNDZkZDRkYmI3ZTU2ZGNiNzJiYWMiLCJ1c2VySWQiOiIxMjg5NjU4NzI1In0=</vt:lpwstr>
  </property>
  <property fmtid="{D5CDD505-2E9C-101B-9397-08002B2CF9AE}" pid="3" name="KSOProductBuildVer">
    <vt:lpwstr>2052-12.1.0.26895</vt:lpwstr>
  </property>
  <property fmtid="{D5CDD505-2E9C-101B-9397-08002B2CF9AE}" pid="4" name="ICV">
    <vt:lpwstr>6A3B6D2AACA24BF2A1260C53E98EDD45_13</vt:lpwstr>
  </property>
</Properties>
</file>