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0B582">
      <w:pPr>
        <w:spacing w:before="1200"/>
        <w:jc w:val="center"/>
      </w:pPr>
      <w:r>
        <w:rPr>
          <w:rFonts w:ascii="Times New Roman" w:hAnsi="Times New Roman" w:eastAsia="黑体"/>
          <w:b/>
          <w:sz w:val="44"/>
        </w:rPr>
        <w:t>算法过程可视化系统</w:t>
      </w:r>
    </w:p>
    <w:p w14:paraId="40308A6A">
      <w:pPr>
        <w:spacing w:before="160"/>
        <w:jc w:val="center"/>
      </w:pPr>
      <w:r>
        <w:rPr>
          <w:rFonts w:ascii="Times New Roman" w:hAnsi="Times New Roman" w:eastAsia="黑体"/>
          <w:b/>
          <w:sz w:val="44"/>
        </w:rPr>
        <w:t>需求分析文档</w:t>
      </w:r>
    </w:p>
    <w:p w14:paraId="1293E599"/>
    <w:p w14:paraId="2B18253A"/>
    <w:p w14:paraId="697135D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77A7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54D5DB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文档属性</w:t>
            </w:r>
          </w:p>
        </w:tc>
        <w:tc>
          <w:tcPr>
            <w:tcW w:w="6803" w:type="dxa"/>
            <w:vAlign w:val="center"/>
          </w:tcPr>
          <w:p w14:paraId="04B640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 w14:paraId="238E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A4187F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w="6803" w:type="dxa"/>
            <w:vAlign w:val="center"/>
          </w:tcPr>
          <w:p w14:paraId="5C3B504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Algorithm Process Visualization System（算法过程可视化系统）</w:t>
            </w:r>
          </w:p>
        </w:tc>
      </w:tr>
      <w:tr w14:paraId="20B8B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562ADF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应用名称</w:t>
            </w:r>
          </w:p>
        </w:tc>
        <w:tc>
          <w:tcPr>
            <w:tcW w:w="6803" w:type="dxa"/>
            <w:vAlign w:val="center"/>
          </w:tcPr>
          <w:p w14:paraId="59F72F1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算法过程可视化系统</w:t>
            </w:r>
          </w:p>
        </w:tc>
      </w:tr>
      <w:tr w14:paraId="0F4A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C45802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App ID</w:t>
            </w:r>
          </w:p>
        </w:tc>
        <w:tc>
          <w:tcPr>
            <w:tcW w:w="6803" w:type="dxa"/>
            <w:vAlign w:val="center"/>
          </w:tcPr>
          <w:p w14:paraId="2B73E1A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cn.algoviz.web</w:t>
            </w:r>
          </w:p>
        </w:tc>
      </w:tr>
      <w:tr w14:paraId="27D5E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E7862A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编制日期</w:t>
            </w:r>
          </w:p>
        </w:tc>
        <w:tc>
          <w:tcPr>
            <w:tcW w:w="6803" w:type="dxa"/>
            <w:vAlign w:val="center"/>
          </w:tcPr>
          <w:p w14:paraId="4CBF4A7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</w:tr>
      <w:tr w14:paraId="4510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FB65BF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编制小组</w:t>
            </w:r>
          </w:p>
        </w:tc>
        <w:tc>
          <w:tcPr>
            <w:tcW w:w="6803" w:type="dxa"/>
            <w:vAlign w:val="center"/>
          </w:tcPr>
          <w:p w14:paraId="4639E38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孟欣（组长）、李佳乐、宋启悦、冀文卓</w:t>
            </w:r>
          </w:p>
        </w:tc>
      </w:tr>
      <w:tr w14:paraId="44267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43B120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项目周期</w:t>
            </w:r>
          </w:p>
        </w:tc>
        <w:tc>
          <w:tcPr>
            <w:tcW w:w="6803" w:type="dxa"/>
            <w:vAlign w:val="center"/>
          </w:tcPr>
          <w:p w14:paraId="2F9AE53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 ~ 2026-07-02（共 2 周）</w:t>
            </w:r>
          </w:p>
        </w:tc>
      </w:tr>
      <w:tr w14:paraId="4C4AD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BE2D9B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引用规范</w:t>
            </w:r>
          </w:p>
        </w:tc>
        <w:tc>
          <w:tcPr>
            <w:tcW w:w="6803" w:type="dxa"/>
            <w:vAlign w:val="center"/>
          </w:tcPr>
          <w:p w14:paraId="3837E0E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OMG UML 2.5.1、DBML 1.0、IEEE 830-1998、GB/T 8567-2006、《软件工程专业毕业设计（论文）写作规范与要求(2026)》</w:t>
            </w:r>
          </w:p>
        </w:tc>
      </w:tr>
    </w:tbl>
    <w:p w14:paraId="6256A66D">
      <w:r>
        <w:br w:type="page"/>
      </w:r>
    </w:p>
    <w:p w14:paraId="0B913CC6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目  录</w:t>
      </w:r>
    </w:p>
    <w:p w14:paraId="40C84C7B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1  问题定义</w:t>
      </w:r>
    </w:p>
    <w:p w14:paraId="13709F3C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1.1  业务/教学背景</w:t>
      </w:r>
    </w:p>
    <w:p w14:paraId="7E0B65E8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1.2  核心问题</w:t>
      </w:r>
    </w:p>
    <w:p w14:paraId="627FC1C5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1.3  项目定位与边界</w:t>
      </w:r>
    </w:p>
    <w:p w14:paraId="2C738D0C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2  可行性研究</w:t>
      </w:r>
    </w:p>
    <w:p w14:paraId="54E68A5F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2.1  技术可行性</w:t>
      </w:r>
    </w:p>
    <w:p w14:paraId="402979E3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2.2  经济可行性</w:t>
      </w:r>
    </w:p>
    <w:p w14:paraId="465651DE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2.3  操作可行性</w:t>
      </w:r>
    </w:p>
    <w:p w14:paraId="11464896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2.4  法律/合规可行性</w:t>
      </w:r>
    </w:p>
    <w:p w14:paraId="3E1097A3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2.5  进度可行性</w:t>
      </w:r>
    </w:p>
    <w:p w14:paraId="4D75EBF0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3  需求分析</w:t>
      </w:r>
    </w:p>
    <w:p w14:paraId="4A89978D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3.1  系统目标</w:t>
      </w:r>
    </w:p>
    <w:p w14:paraId="0287426C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3.2  用户群体</w:t>
      </w:r>
    </w:p>
    <w:p w14:paraId="1D07048F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3.3  功能需求</w:t>
      </w:r>
    </w:p>
    <w:p w14:paraId="4509B803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3.4  非功能需求</w:t>
      </w:r>
    </w:p>
    <w:p w14:paraId="4F437384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4  UML 与数据建模</w:t>
      </w:r>
    </w:p>
    <w:p w14:paraId="4641DCA1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5  AI 辅助需求分析的应用</w:t>
      </w:r>
    </w:p>
    <w:p w14:paraId="32B91EF3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6  附录</w:t>
      </w:r>
    </w:p>
    <w:p w14:paraId="77B99058">
      <w:r>
        <w:br w:type="page"/>
      </w:r>
    </w:p>
    <w:p w14:paraId="1FA14082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1  问题定义</w:t>
      </w:r>
    </w:p>
    <w:p w14:paraId="3401C0B8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1.1  业务/教学背景</w:t>
      </w:r>
    </w:p>
    <w:p w14:paraId="2B6D8CB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数据结构与算法是计算机相关专业的核心课程，其学习成效直接决定后续操作系统、数据库、编译原理等课程的学习深度。然而在《数据结构》课程的实际教学中，长期存在以下痛点：</w:t>
      </w:r>
    </w:p>
    <w:p w14:paraId="534B0E2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抽象概念难以建立心智模型：链表的指针指向、栈/队列的入出顺序、二叉树的递归遍历、Dijkstra 的松弛过程等动态行为，仅凭伪代码与静态插图难以在脑海中复现。</w:t>
      </w:r>
    </w:p>
    <w:p w14:paraId="0B66E77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执行过程不可回溯：传统课堂演示一过即逝，学生在课后复习时无法逐步暂停、回放某一关键步骤；终端控制台的 printf 调试只能输出最终结果或离散日志，无法以图形方式呈现状态演变。</w:t>
      </w:r>
    </w:p>
    <w:p w14:paraId="6C390215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代码与图形脱节：现有 PPT 动画往往与真实代码无关，学生看到的“动画”与教材中的代码片段无法对应，造成“看动画似乎懂了，写代码又不会”的割裂感。</w:t>
      </w:r>
    </w:p>
    <w:p w14:paraId="7C84F64B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测试用例难以复现：手工构造图、矩阵、稀疏矩阵等结构耗时冗长，学生在做对比实验、调参实验时缺乏可保存、可复用的测试用例库。</w:t>
      </w:r>
    </w:p>
    <w:p w14:paraId="560631A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现有工具存在局限：在线可视化网站（如 visualgo、cs-visualizer）依赖网络且算法覆盖有限；桌面 IDE 调试器虽然精准但缺乏面向数据结构的可视化语义；二者皆不易二次开发与定制。</w:t>
      </w:r>
    </w:p>
    <w:p w14:paraId="5320D0EC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1.2  核心问题</w:t>
      </w:r>
    </w:p>
    <w:p w14:paraId="6A033BE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何为《数据结构》课程构建一个基于浏览器的、覆盖典型数据结构与算法的交互式实验平台，使每一行真实代码都能与可视化画布上的状态变化精确同步，并支持自定义测试数据与多档播放速度，从而真正打通“代码 — 状态 — 图形”的认知闭环？</w:t>
      </w:r>
    </w:p>
    <w:p w14:paraId="03861F56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1.3  项目定位与边界</w:t>
      </w:r>
    </w:p>
    <w:p w14:paraId="0CA0F87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本项目定位为《数据结构》课程设计的 Web 端算法可视化实验平台，以“专用画布 + 源码级同步 + 测试数据闭环”为三大核心能力，目标用户群体为高校教师与本科生；产品对外展示名称即为“算法过程可视化系统”。</w:t>
      </w:r>
    </w:p>
    <w:p w14:paraId="5069C2F2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1.3.1  项目范围（系统将提供）</w:t>
      </w:r>
    </w:p>
    <w:p w14:paraId="68DE8F6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覆盖《数据结构》课程主流算法的可视化：包括线性表（顺序表/单链表/双链表/循环链表）、栈与队列（顺序表/链表/循环队列、括号匹配、表达式计算）、树结构（二叉树/哈夫曼树）、图结构（邻接矩阵/邻接表/Dijkstra 最短路径）以及典型递归与排序算法等。</w:t>
      </w:r>
    </w:p>
    <w:p w14:paraId="167E544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采用 Vue.js 3 + Vite + Canvas 技术栈构建单页 Web 应用，本地开发服务器监听 5173 端口，部署形态为静态资源，可托管于校内 Web 服务器或本地直接打开。</w:t>
      </w:r>
    </w:p>
    <w:p w14:paraId="4A5A903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发布形式包括 Vite 构建出的静态发行包（HTML + JS + CSS）以及开发期热重载环境，适合教师课堂演示、学生课后自学与课程作业实验。</w:t>
      </w:r>
    </w:p>
    <w:p w14:paraId="0AEAE05B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核心能力包括：算法分类目录、专用算法画布、源码级同步、测试用例选择、随机数据生成、播放/暂停/单步/重置控制、播放速度调节、当前步骤说明、复杂度展示。</w:t>
      </w:r>
    </w:p>
    <w:p w14:paraId="27D201A6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1.3.2  边界划定原则</w:t>
      </w:r>
    </w:p>
    <w:p w14:paraId="4FBB8F2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面向单机使用，不引入登录、云同步、社交分享等需要联网的能力。</w:t>
      </w:r>
    </w:p>
    <w:p w14:paraId="1B00E79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不包含算法源码的在线编译/执行能力，平台内置算法实现由开发团队预置，用户不可任意上传执行任意代码。</w:t>
      </w:r>
    </w:p>
    <w:p w14:paraId="180C6FE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不包含课程管理（作业发布、批改、评分）功能，平台聚焦“可视化实验”而非“教学管理”。</w:t>
      </w:r>
    </w:p>
    <w:p w14:paraId="468B15D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不引入用户体系，不收集任何个人数据；用户输入的测试数据仅在浏览器会话中保留。</w:t>
      </w:r>
    </w:p>
    <w:p w14:paraId="349A348B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首版不支持移动端深度适配，动画呈现质量与交互体验以桌面分辨率（≥ 1366×768）为基准。</w:t>
      </w:r>
    </w:p>
    <w:p w14:paraId="203241B5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2  可行性研究</w:t>
      </w:r>
    </w:p>
    <w:p w14:paraId="41B6E986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2.1  技术可行性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268"/>
        <w:gridCol w:w="5046"/>
      </w:tblGrid>
      <w:tr w14:paraId="5905B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74" w:type="dxa"/>
            <w:vAlign w:val="center"/>
          </w:tcPr>
          <w:p w14:paraId="17F280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关键技术</w:t>
            </w:r>
          </w:p>
        </w:tc>
        <w:tc>
          <w:tcPr>
            <w:tcW w:w="2268" w:type="dxa"/>
            <w:vAlign w:val="center"/>
          </w:tcPr>
          <w:p w14:paraId="0E66D95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拟选型</w:t>
            </w:r>
          </w:p>
        </w:tc>
        <w:tc>
          <w:tcPr>
            <w:tcW w:w="5046" w:type="dxa"/>
            <w:vAlign w:val="center"/>
          </w:tcPr>
          <w:p w14:paraId="1DBCF1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论证说明</w:t>
            </w:r>
          </w:p>
        </w:tc>
      </w:tr>
      <w:tr w14:paraId="63DD0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E22551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前端框架</w:t>
            </w:r>
          </w:p>
        </w:tc>
        <w:tc>
          <w:tcPr>
            <w:tcW w:w="2268" w:type="dxa"/>
            <w:vAlign w:val="center"/>
          </w:tcPr>
          <w:p w14:paraId="794293A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Vue.js 3.4 + Composition API</w:t>
            </w:r>
          </w:p>
        </w:tc>
        <w:tc>
          <w:tcPr>
            <w:tcW w:w="5046" w:type="dxa"/>
            <w:vAlign w:val="center"/>
          </w:tcPr>
          <w:p w14:paraId="0025C72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成熟稳定，国内高校与企业广泛采用；响应式系统天然契合“数据 → 视图”同步场景；学习曲线平缓，团队成员熟悉，风险低。</w:t>
            </w:r>
          </w:p>
        </w:tc>
      </w:tr>
      <w:tr w14:paraId="1626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E9C094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构建工具</w:t>
            </w:r>
          </w:p>
        </w:tc>
        <w:tc>
          <w:tcPr>
            <w:tcW w:w="2268" w:type="dxa"/>
            <w:vAlign w:val="center"/>
          </w:tcPr>
          <w:p w14:paraId="456E538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Vite 5</w:t>
            </w:r>
          </w:p>
        </w:tc>
        <w:tc>
          <w:tcPr>
            <w:tcW w:w="5046" w:type="dxa"/>
            <w:vAlign w:val="center"/>
          </w:tcPr>
          <w:p w14:paraId="6CD866B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基于原生 ES Modules，开发期热重载快，生产期产物体积小；默认监听 5173 端口；与 Vue 生态无缝整合。</w:t>
            </w:r>
          </w:p>
        </w:tc>
      </w:tr>
      <w:tr w14:paraId="1053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4913C6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UI 与样式</w:t>
            </w:r>
          </w:p>
        </w:tc>
        <w:tc>
          <w:tcPr>
            <w:tcW w:w="2268" w:type="dxa"/>
            <w:vAlign w:val="center"/>
          </w:tcPr>
          <w:p w14:paraId="57DBEC1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原生 CSS + 定制深色主题</w:t>
            </w:r>
          </w:p>
        </w:tc>
        <w:tc>
          <w:tcPr>
            <w:tcW w:w="5046" w:type="dxa"/>
            <w:vAlign w:val="center"/>
          </w:tcPr>
          <w:p w14:paraId="1545200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采用统一深色主题（深蓝 #0F172A 系列），减少第三方依赖；通过 CSS 变量管理主题色，便于后续扩展浅色主题。</w:t>
            </w:r>
          </w:p>
        </w:tc>
      </w:tr>
      <w:tr w14:paraId="38AF4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CC1BCC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可视化渲染</w:t>
            </w:r>
          </w:p>
        </w:tc>
        <w:tc>
          <w:tcPr>
            <w:tcW w:w="2268" w:type="dxa"/>
            <w:vAlign w:val="center"/>
          </w:tcPr>
          <w:p w14:paraId="0AC7BE5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HTML5 Canvas 2D / SVG</w:t>
            </w:r>
          </w:p>
        </w:tc>
        <w:tc>
          <w:tcPr>
            <w:tcW w:w="5046" w:type="dxa"/>
            <w:vAlign w:val="center"/>
          </w:tcPr>
          <w:p w14:paraId="6A03394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Canvas 适合密集帧动画（如排序柱状图、节点遍历）；SVG 适合可点击的图节点；二者按场景互补，浏览器原生支持，零依赖。</w:t>
            </w:r>
          </w:p>
        </w:tc>
      </w:tr>
      <w:tr w14:paraId="3AE0C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B9C343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路由</w:t>
            </w:r>
          </w:p>
        </w:tc>
        <w:tc>
          <w:tcPr>
            <w:tcW w:w="2268" w:type="dxa"/>
            <w:vAlign w:val="center"/>
          </w:tcPr>
          <w:p w14:paraId="242B376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Vue Router 4</w:t>
            </w:r>
          </w:p>
        </w:tc>
        <w:tc>
          <w:tcPr>
            <w:tcW w:w="5046" w:type="dxa"/>
            <w:vAlign w:val="center"/>
          </w:tcPr>
          <w:p w14:paraId="7B85CE7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为不同算法分配独立路由（如 /graph/dijkstra、/sort/quick），便于地址直达与状态隔离。</w:t>
            </w:r>
          </w:p>
        </w:tc>
      </w:tr>
      <w:tr w14:paraId="4C94B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5AF0CB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状态管理</w:t>
            </w:r>
          </w:p>
        </w:tc>
        <w:tc>
          <w:tcPr>
            <w:tcW w:w="2268" w:type="dxa"/>
            <w:vAlign w:val="center"/>
          </w:tcPr>
          <w:p w14:paraId="37EC758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Pinia（或组合式 store）</w:t>
            </w:r>
          </w:p>
        </w:tc>
        <w:tc>
          <w:tcPr>
            <w:tcW w:w="5046" w:type="dxa"/>
            <w:vAlign w:val="center"/>
          </w:tcPr>
          <w:p w14:paraId="2A8C012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管理“当前算法 / 当前步骤 / 播放状态 / 测试用例 ID”等全局状态；API 简洁，调试方便。</w:t>
            </w:r>
          </w:p>
        </w:tc>
      </w:tr>
      <w:tr w14:paraId="22DB4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F61EDB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数据结构</w:t>
            </w:r>
          </w:p>
        </w:tc>
        <w:tc>
          <w:tcPr>
            <w:tcW w:w="2268" w:type="dxa"/>
            <w:vAlign w:val="center"/>
          </w:tcPr>
          <w:p w14:paraId="40AD38C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纯 JavaScript 对象</w:t>
            </w:r>
          </w:p>
        </w:tc>
        <w:tc>
          <w:tcPr>
            <w:tcW w:w="5046" w:type="dxa"/>
            <w:vAlign w:val="center"/>
          </w:tcPr>
          <w:p w14:paraId="4EA4940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图、链表、树等结构均以 ES 对象表示，便于序列化保存与复现；无需引入额外库。</w:t>
            </w:r>
          </w:p>
        </w:tc>
      </w:tr>
      <w:tr w14:paraId="231EA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42CD65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开发工具链</w:t>
            </w:r>
          </w:p>
        </w:tc>
        <w:tc>
          <w:tcPr>
            <w:tcW w:w="2268" w:type="dxa"/>
            <w:vAlign w:val="center"/>
          </w:tcPr>
          <w:p w14:paraId="3724EEE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Node.js 18 + npm + ESLint + Prettier</w:t>
            </w:r>
          </w:p>
        </w:tc>
        <w:tc>
          <w:tcPr>
            <w:tcW w:w="5046" w:type="dxa"/>
            <w:vAlign w:val="center"/>
          </w:tcPr>
          <w:p w14:paraId="04E45CB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团队采用统一格式化规则与 Lint，保证代码风格一致；成员均具备 Vue.js 项目开发经验。</w:t>
            </w:r>
          </w:p>
        </w:tc>
      </w:tr>
      <w:tr w14:paraId="1789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0200EA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</w:t>
            </w:r>
          </w:p>
        </w:tc>
        <w:tc>
          <w:tcPr>
            <w:tcW w:w="2268" w:type="dxa"/>
            <w:vAlign w:val="center"/>
          </w:tcPr>
          <w:p w14:paraId="6160FA4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Vitest + 手工 E2E</w:t>
            </w:r>
          </w:p>
        </w:tc>
        <w:tc>
          <w:tcPr>
            <w:tcW w:w="5046" w:type="dxa"/>
            <w:vAlign w:val="center"/>
          </w:tcPr>
          <w:p w14:paraId="613CF74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Vitest 与 Vite 同源，零配置；E2E 阶段以课堂演示用例进行手工回归。</w:t>
            </w:r>
          </w:p>
        </w:tc>
      </w:tr>
    </w:tbl>
    <w:p w14:paraId="475AD0A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结论：所选技术栈整体处于成熟稳定阶段，社区文档完整，团队成员均有相关经验，技术风险等级评定为 低；在 2 周开发周期内具备完整的技术落地条件。</w:t>
      </w:r>
    </w:p>
    <w:p w14:paraId="4598E423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2.2  经济可行性</w:t>
      </w:r>
    </w:p>
    <w:p w14:paraId="7205D67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授权成本：所选 Vue.js、Vite、Vue Router、Pinia、ESLint、Prettier 等均采用 MIT/BSD/Apache-2.0 等宽松开源协议，零授权成本。</w:t>
      </w:r>
    </w:p>
    <w:p w14:paraId="42617C4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运维成本：Web 端应用，构建产物为纯静态文件，可托管于校内已有 Web 服务器或本地文件协议直接打开，几乎零运维成本。</w:t>
      </w:r>
    </w:p>
    <w:p w14:paraId="3A193BE5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硬件成本：开发机为团队成员自有设备，目标运行环境对硬件无苛刻要求（4 GB 内存即可流畅运行）。</w:t>
      </w:r>
    </w:p>
    <w:p w14:paraId="1BCF8D6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人力成本：4 名学生开发者在课程周期内并行投入，无额外人力支出，符合课程设计教学经费预算。</w:t>
      </w:r>
    </w:p>
    <w:p w14:paraId="704E5C6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潜在收益：① 完成《数据结构》课程设计任务并获得课程学分；② 形成可对外开源的教学辅助工具，提升团队工程化能力与作品集；③ 平台可二次扩展为更多算法的实验环境，长期复用价值高。</w:t>
      </w:r>
    </w:p>
    <w:p w14:paraId="6ADFC6B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综上所述，项目投入产出比合理，经济可行性 充分。</w:t>
      </w:r>
    </w:p>
    <w:p w14:paraId="1228CAD4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2.3  操作可行性</w:t>
      </w:r>
    </w:p>
    <w:p w14:paraId="3C31957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上手难度低：用户从顶部标签或左侧目录选择算法 → 在数据区填写或随机生成数据 → 点击“使用输入” → 点击“播放”即可观看动画，整个核心闭环不超过 4 步操作。</w:t>
      </w:r>
    </w:p>
    <w:p w14:paraId="7D48F65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功能入口清晰：顶部为算法切换标签栏，左侧为输入数据 / 测试用例 / 播放控制 / 当前步骤 / 复杂度 五个面板，中央为可视化画布，按“信息密度”分区组织，避免单页过载。</w:t>
      </w:r>
    </w:p>
    <w:p w14:paraId="5C0B082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输入容错完善：输入框对非法字符、长度越界、邻接矩阵非方阵、起点/终点不存在等情况进行校验，并以红色边框 + 文案提示，立即反馈，不会因为脏数据导致动画崩溃。</w:t>
      </w:r>
    </w:p>
    <w:p w14:paraId="376DCFE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辅助功能丰富：随机图按钮、3 条预置测试用例（5/6/4 节点图）、播放速度滑块（约 700 ms 默认）、上一步/下一步、重置、当前步骤说明等共同降低使用门槛。</w:t>
      </w:r>
    </w:p>
    <w:p w14:paraId="6790793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学习曲线平滑：所有算法共享同一交互范式（选择 → 输入 → 播放 → 观察），用户掌握第一个算法后，其余算法的操作几乎零迁移成本。</w:t>
      </w:r>
    </w:p>
    <w:p w14:paraId="616C2B68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2.4  法律/合规可行性</w:t>
      </w:r>
    </w:p>
    <w:p w14:paraId="715DA23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开源协议兼容性：所选第三方依赖均采用 MIT、BSD、Apache-2.0 等宽松协议，彼此兼容；项目计划以 MIT License 发布。</w:t>
      </w:r>
    </w:p>
    <w:p w14:paraId="7398B93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数据隐私合规：本项目不采集、不上传、不传输任何用户个人信息；用户输入的测试数据仅在浏览器内存中存在，刷新页面即清除，符合 GDPR、《个人信息保护法》（PIPL）的数据最小化原则。</w:t>
      </w:r>
    </w:p>
    <w:p w14:paraId="410E81F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知识产权：所有原创算法实现、画布渲染逻辑、UI 设计均由项目组独立完成；引用第三方资源时在“关于”面板中明确署名；不抓取、不二次分发任何受保护内容。</w:t>
      </w:r>
    </w:p>
    <w:p w14:paraId="0E8F1AA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品牌商标：产品名“算法过程可视化系统”为通用描述性名称，不与任何已注册商标冲突；Logo 与字体均来自团队自绘或采用允许商用的开源字库（如思源黑体）。</w:t>
      </w:r>
    </w:p>
    <w:p w14:paraId="4B4EC20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综上，项目在法律与合规层面无显著风险，可放心实施。</w:t>
      </w:r>
    </w:p>
    <w:p w14:paraId="39DD6424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2.5  进度可行性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474"/>
        <w:gridCol w:w="5272"/>
      </w:tblGrid>
      <w:tr w14:paraId="584FC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  <w:vAlign w:val="center"/>
          </w:tcPr>
          <w:p w14:paraId="4EBEE1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阶段节点</w:t>
            </w:r>
          </w:p>
        </w:tc>
        <w:tc>
          <w:tcPr>
            <w:tcW w:w="1474" w:type="dxa"/>
            <w:vAlign w:val="center"/>
          </w:tcPr>
          <w:p w14:paraId="1283A2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截止时间</w:t>
            </w:r>
          </w:p>
        </w:tc>
        <w:tc>
          <w:tcPr>
            <w:tcW w:w="5272" w:type="dxa"/>
            <w:vAlign w:val="center"/>
          </w:tcPr>
          <w:p w14:paraId="1FEADC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主要交付工作</w:t>
            </w:r>
          </w:p>
        </w:tc>
      </w:tr>
      <w:tr w14:paraId="224D4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63490E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1 — 前期准备</w:t>
            </w:r>
          </w:p>
        </w:tc>
        <w:tc>
          <w:tcPr>
            <w:tcW w:w="1474" w:type="dxa"/>
            <w:vAlign w:val="center"/>
          </w:tcPr>
          <w:p w14:paraId="51685D1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5272" w:type="dxa"/>
            <w:vAlign w:val="center"/>
          </w:tcPr>
          <w:p w14:paraId="2FC0CA3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需求分析文档、可行性分析报告、技术选型报告、用例分析文档、成员分工表</w:t>
            </w:r>
          </w:p>
        </w:tc>
      </w:tr>
      <w:tr w14:paraId="5215E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B987A4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2 — 系统设计</w:t>
            </w:r>
          </w:p>
        </w:tc>
        <w:tc>
          <w:tcPr>
            <w:tcW w:w="1474" w:type="dxa"/>
            <w:vAlign w:val="center"/>
          </w:tcPr>
          <w:p w14:paraId="599A994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2026-06-21</w:t>
            </w:r>
          </w:p>
        </w:tc>
        <w:tc>
          <w:tcPr>
            <w:tcW w:w="5272" w:type="dxa"/>
            <w:vAlign w:val="center"/>
          </w:tcPr>
          <w:p w14:paraId="452DCBD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系统架构设计、UI 原型与组件结构、模块接口规范、数据流与状态机设计</w:t>
            </w:r>
          </w:p>
        </w:tc>
      </w:tr>
      <w:tr w14:paraId="6F8A7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050A67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3 — 模块开发</w:t>
            </w:r>
          </w:p>
        </w:tc>
        <w:tc>
          <w:tcPr>
            <w:tcW w:w="1474" w:type="dxa"/>
            <w:vAlign w:val="center"/>
          </w:tcPr>
          <w:p w14:paraId="675162D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2026-06-26</w:t>
            </w:r>
          </w:p>
        </w:tc>
        <w:tc>
          <w:tcPr>
            <w:tcW w:w="5272" w:type="dxa"/>
            <w:vAlign w:val="center"/>
          </w:tcPr>
          <w:p w14:paraId="57238C9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线性表 / 栈队列 / 树结构 / 图结构 / 排序 / 递归回溯 等可视化模块；交互组件与代码/步骤面板</w:t>
            </w:r>
          </w:p>
        </w:tc>
      </w:tr>
      <w:tr w14:paraId="06AC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E9CE99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4 — 系统集成</w:t>
            </w:r>
          </w:p>
        </w:tc>
        <w:tc>
          <w:tcPr>
            <w:tcW w:w="1474" w:type="dxa"/>
            <w:vAlign w:val="center"/>
          </w:tcPr>
          <w:p w14:paraId="656260F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2026-06-28</w:t>
            </w:r>
          </w:p>
        </w:tc>
        <w:tc>
          <w:tcPr>
            <w:tcW w:w="5272" w:type="dxa"/>
            <w:vAlign w:val="center"/>
          </w:tcPr>
          <w:p w14:paraId="124E9C8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模块联调、构建打包、性能与浏览器兼容性测试</w:t>
            </w:r>
          </w:p>
        </w:tc>
      </w:tr>
      <w:tr w14:paraId="189E4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8853B5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5 — 文档整理</w:t>
            </w:r>
          </w:p>
        </w:tc>
        <w:tc>
          <w:tcPr>
            <w:tcW w:w="1474" w:type="dxa"/>
            <w:vAlign w:val="center"/>
          </w:tcPr>
          <w:p w14:paraId="2F8CDCE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2026-07-01</w:t>
            </w:r>
          </w:p>
        </w:tc>
        <w:tc>
          <w:tcPr>
            <w:tcW w:w="5272" w:type="dxa"/>
            <w:vAlign w:val="center"/>
          </w:tcPr>
          <w:p w14:paraId="6015C0A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用户手册、测试报告、系统实现文档、README、源码注释整理</w:t>
            </w:r>
          </w:p>
        </w:tc>
      </w:tr>
      <w:tr w14:paraId="6A2F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CDF7D9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6 — 答辩准备</w:t>
            </w:r>
          </w:p>
        </w:tc>
        <w:tc>
          <w:tcPr>
            <w:tcW w:w="1474" w:type="dxa"/>
            <w:vAlign w:val="center"/>
          </w:tcPr>
          <w:p w14:paraId="5F07D78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2026-07-02</w:t>
            </w:r>
          </w:p>
        </w:tc>
        <w:tc>
          <w:tcPr>
            <w:tcW w:w="5272" w:type="dxa"/>
            <w:vAlign w:val="center"/>
          </w:tcPr>
          <w:p w14:paraId="122388D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答辩 PPT、演示视频、源码材料包、演示脚本与问答准备</w:t>
            </w:r>
          </w:p>
        </w:tc>
      </w:tr>
    </w:tbl>
    <w:p w14:paraId="7CEF06D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人力分工模式：组长孟欣负责系统架构、框架搭建与线性表模块；李佳乐负责栈队列模块与界面设计；宋启悦负责树结构与递归算法模块及测试体系；冀文卓负责交互组件、回溯算法模块与系统打包。并行推进策略：第 1 周第 1 天确定模块接口，使所有成员可并行开发；每日 20:00 例会同步进度并解决阻塞；组长在第 2 周第 1 天前完成主框架，使其余模块可即时集成。基于上述分工与并行策略，在 2 周周期内可按节点完成全部交付。</w:t>
      </w:r>
    </w:p>
    <w:p w14:paraId="09BFD503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3  需求分析</w:t>
      </w:r>
    </w:p>
    <w:p w14:paraId="3A381055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3.1  系统目标</w:t>
      </w:r>
    </w:p>
    <w:p w14:paraId="2C50B57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以下目标编号以 G 开头，每条目标配套可量化的验收标准。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494"/>
        <w:gridCol w:w="5386"/>
      </w:tblGrid>
      <w:tr w14:paraId="3CFD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DF83D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w="2494" w:type="dxa"/>
            <w:vAlign w:val="center"/>
          </w:tcPr>
          <w:p w14:paraId="447C9B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目标描述</w:t>
            </w:r>
          </w:p>
        </w:tc>
        <w:tc>
          <w:tcPr>
            <w:tcW w:w="5386" w:type="dxa"/>
            <w:vAlign w:val="center"/>
          </w:tcPr>
          <w:p w14:paraId="1CC1B6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度量/验收方式</w:t>
            </w:r>
          </w:p>
        </w:tc>
      </w:tr>
      <w:tr w14:paraId="2016C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03DACD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G1</w:t>
            </w:r>
          </w:p>
        </w:tc>
        <w:tc>
          <w:tcPr>
            <w:tcW w:w="2494" w:type="dxa"/>
            <w:vAlign w:val="center"/>
          </w:tcPr>
          <w:p w14:paraId="3E7020D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覆盖《数据结构》课程主流算法</w:t>
            </w:r>
          </w:p>
        </w:tc>
        <w:tc>
          <w:tcPr>
            <w:tcW w:w="5386" w:type="dxa"/>
            <w:vAlign w:val="center"/>
          </w:tcPr>
          <w:p w14:paraId="0084687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至少实现线性表、栈队列、树结构、图结构、排序、递归回溯六大类共 20 种以上算法的可视化，每个算法均提供专用画布与代码同步。</w:t>
            </w:r>
          </w:p>
        </w:tc>
      </w:tr>
      <w:tr w14:paraId="2351B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150B721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G2</w:t>
            </w:r>
          </w:p>
        </w:tc>
        <w:tc>
          <w:tcPr>
            <w:tcW w:w="2494" w:type="dxa"/>
            <w:vAlign w:val="center"/>
          </w:tcPr>
          <w:p w14:paraId="07332C9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保证“代码 - 状态 - 画布”三方同步</w:t>
            </w:r>
          </w:p>
        </w:tc>
        <w:tc>
          <w:tcPr>
            <w:tcW w:w="5386" w:type="dxa"/>
            <w:vAlign w:val="center"/>
          </w:tcPr>
          <w:p w14:paraId="514256F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100% 算法支持代码行级高亮，每帧均能映射至唯一一行真实源码与一条自然语言步骤说明，且步骤序号严格单调（如 1/30、2/30 …）。</w:t>
            </w:r>
          </w:p>
        </w:tc>
      </w:tr>
      <w:tr w14:paraId="74F48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4405E83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G3</w:t>
            </w:r>
          </w:p>
        </w:tc>
        <w:tc>
          <w:tcPr>
            <w:tcW w:w="2494" w:type="dxa"/>
            <w:vAlign w:val="center"/>
          </w:tcPr>
          <w:p w14:paraId="181AA80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提供完整的播放控制</w:t>
            </w:r>
          </w:p>
        </w:tc>
        <w:tc>
          <w:tcPr>
            <w:tcW w:w="5386" w:type="dxa"/>
            <w:vAlign w:val="center"/>
          </w:tcPr>
          <w:p w14:paraId="3A28CD7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支持播放/暂停、单步前进、单步后退、重置；速度滑块（默认 700 ms，可在 100–2000 ms 之间调节）；在 i5-8500U 同级硬件上单步切换响应 ≤ 200 ms。</w:t>
            </w:r>
          </w:p>
        </w:tc>
      </w:tr>
      <w:tr w14:paraId="2D5E1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89A1B9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G4</w:t>
            </w:r>
          </w:p>
        </w:tc>
        <w:tc>
          <w:tcPr>
            <w:tcW w:w="2494" w:type="dxa"/>
            <w:vAlign w:val="center"/>
          </w:tcPr>
          <w:p w14:paraId="054F95A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测试数据闭环</w:t>
            </w:r>
          </w:p>
        </w:tc>
        <w:tc>
          <w:tcPr>
            <w:tcW w:w="5386" w:type="dxa"/>
            <w:vAlign w:val="center"/>
          </w:tcPr>
          <w:p w14:paraId="15AB3BD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支持随机生成、手动输入、预置测试用例一键载入；每个算法不少于 3 条预置测试用例。</w:t>
            </w:r>
          </w:p>
        </w:tc>
      </w:tr>
      <w:tr w14:paraId="4A765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D65EA3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G5</w:t>
            </w:r>
          </w:p>
        </w:tc>
        <w:tc>
          <w:tcPr>
            <w:tcW w:w="2494" w:type="dxa"/>
            <w:vAlign w:val="center"/>
          </w:tcPr>
          <w:p w14:paraId="65A70CB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复杂度与步骤说明</w:t>
            </w:r>
          </w:p>
        </w:tc>
        <w:tc>
          <w:tcPr>
            <w:tcW w:w="5386" w:type="dxa"/>
            <w:vAlign w:val="center"/>
          </w:tcPr>
          <w:p w14:paraId="7FED7AB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每个算法在执行过程中实时显示时间复杂度（如 O((V+E) log V)）、空间复杂度（如 O(V)）以及当前步骤的自然语言说明。</w:t>
            </w:r>
          </w:p>
        </w:tc>
      </w:tr>
      <w:tr w14:paraId="4904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14EFA46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G6</w:t>
            </w:r>
          </w:p>
        </w:tc>
        <w:tc>
          <w:tcPr>
            <w:tcW w:w="2494" w:type="dxa"/>
            <w:vAlign w:val="center"/>
          </w:tcPr>
          <w:p w14:paraId="25DE1E1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本地离线运行</w:t>
            </w:r>
          </w:p>
        </w:tc>
        <w:tc>
          <w:tcPr>
            <w:tcW w:w="5386" w:type="dxa"/>
            <w:vAlign w:val="center"/>
          </w:tcPr>
          <w:p w14:paraId="37F3CDD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构建产物为纯静态文件，安装包 ≤ 50 MB；启动时间 ≤ 2 s（首次加载）；断网情况下所有功能正常工作。</w:t>
            </w:r>
          </w:p>
        </w:tc>
      </w:tr>
      <w:tr w14:paraId="6E0B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4976226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G7</w:t>
            </w:r>
          </w:p>
        </w:tc>
        <w:tc>
          <w:tcPr>
            <w:tcW w:w="2494" w:type="dxa"/>
            <w:vAlign w:val="center"/>
          </w:tcPr>
          <w:p w14:paraId="6E53CAC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界面统一与无障碍</w:t>
            </w:r>
          </w:p>
        </w:tc>
        <w:tc>
          <w:tcPr>
            <w:tcW w:w="5386" w:type="dxa"/>
            <w:vAlign w:val="center"/>
          </w:tcPr>
          <w:p w14:paraId="2D1DA24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全平台采用统一的深色主题；通过 WCAG 2.1 AA 级色彩对比；动画可随播放进度暂停以适配晕动症用户。</w:t>
            </w:r>
          </w:p>
        </w:tc>
      </w:tr>
      <w:tr w14:paraId="36B9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BF04AD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G8</w:t>
            </w:r>
          </w:p>
        </w:tc>
        <w:tc>
          <w:tcPr>
            <w:tcW w:w="2494" w:type="dxa"/>
            <w:vAlign w:val="center"/>
          </w:tcPr>
          <w:p w14:paraId="4B778E9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可扩展架构</w:t>
            </w:r>
          </w:p>
        </w:tc>
        <w:tc>
          <w:tcPr>
            <w:tcW w:w="5386" w:type="dxa"/>
            <w:vAlign w:val="center"/>
          </w:tcPr>
          <w:p w14:paraId="53DC75F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新增一个算法仅需实现统一接口（init/step/reset）并注册到目录配置文件，框架代码零改动。</w:t>
            </w:r>
          </w:p>
        </w:tc>
      </w:tr>
    </w:tbl>
    <w:p w14:paraId="633CB656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3.2  用户群体</w:t>
      </w:r>
    </w:p>
    <w:p w14:paraId="3F4CE6C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本系统为 单机单用户 应用，不引入账号体系；所有偏好与数据均按浏览器会话进行隔离。下列角色用于功能场景刻画与用例建模。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2835"/>
        <w:gridCol w:w="2835"/>
      </w:tblGrid>
      <w:tr w14:paraId="25E6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A5B3A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角色标识</w:t>
            </w:r>
          </w:p>
        </w:tc>
        <w:tc>
          <w:tcPr>
            <w:tcW w:w="2268" w:type="dxa"/>
            <w:vAlign w:val="center"/>
          </w:tcPr>
          <w:p w14:paraId="7616C3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角色描述</w:t>
            </w:r>
          </w:p>
        </w:tc>
        <w:tc>
          <w:tcPr>
            <w:tcW w:w="2835" w:type="dxa"/>
            <w:vAlign w:val="center"/>
          </w:tcPr>
          <w:p w14:paraId="6E70E7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主要使用场景</w:t>
            </w:r>
          </w:p>
        </w:tc>
        <w:tc>
          <w:tcPr>
            <w:tcW w:w="2835" w:type="dxa"/>
            <w:vAlign w:val="center"/>
          </w:tcPr>
          <w:p w14:paraId="63B202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核心诉求</w:t>
            </w:r>
          </w:p>
        </w:tc>
      </w:tr>
      <w:tr w14:paraId="5C8D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778F1D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STU</w:t>
            </w:r>
          </w:p>
        </w:tc>
        <w:tc>
          <w:tcPr>
            <w:tcW w:w="2268" w:type="dxa"/>
            <w:vAlign w:val="center"/>
          </w:tcPr>
          <w:p w14:paraId="76060F5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数据结构课程在读本科生（计算机/软件工程相关专业），编程基础初级到中级</w:t>
            </w:r>
          </w:p>
        </w:tc>
        <w:tc>
          <w:tcPr>
            <w:tcW w:w="2835" w:type="dxa"/>
            <w:vAlign w:val="center"/>
          </w:tcPr>
          <w:p w14:paraId="7DCED3B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课前预习链表/树/图等抽象结构；课后复习老师讲解过的算法；做课程实验时验证自己手写代码逻辑。</w:t>
            </w:r>
          </w:p>
        </w:tc>
        <w:tc>
          <w:tcPr>
            <w:tcW w:w="2835" w:type="dxa"/>
            <w:vAlign w:val="center"/>
          </w:tcPr>
          <w:p w14:paraId="0A204D9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希望快速、直观地看到算法每一步的状态变化；能对自己的测试用例反复观察；学习曲线低。</w:t>
            </w:r>
          </w:p>
        </w:tc>
      </w:tr>
      <w:tr w14:paraId="691F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2C3F1E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TCH</w:t>
            </w:r>
          </w:p>
        </w:tc>
        <w:tc>
          <w:tcPr>
            <w:tcW w:w="2268" w:type="dxa"/>
            <w:vAlign w:val="center"/>
          </w:tcPr>
          <w:p w14:paraId="68C5069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高校《数据结构》课程任课教师或助教</w:t>
            </w:r>
          </w:p>
        </w:tc>
        <w:tc>
          <w:tcPr>
            <w:tcW w:w="2835" w:type="dxa"/>
            <w:vAlign w:val="center"/>
          </w:tcPr>
          <w:p w14:paraId="0C380F8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课堂演示、布置实验题；为学生准备多组对比示例；考前点对点辅导。</w:t>
            </w:r>
          </w:p>
        </w:tc>
        <w:tc>
          <w:tcPr>
            <w:tcW w:w="2835" w:type="dxa"/>
            <w:vAlign w:val="center"/>
          </w:tcPr>
          <w:p w14:paraId="70F8865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演示画面美观、流畅；能保存预置课件用例；可投影到大屏不失真。</w:t>
            </w:r>
          </w:p>
        </w:tc>
      </w:tr>
      <w:tr w14:paraId="4317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8B06BC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DEV</w:t>
            </w:r>
          </w:p>
        </w:tc>
        <w:tc>
          <w:tcPr>
            <w:tcW w:w="2268" w:type="dxa"/>
            <w:vAlign w:val="center"/>
          </w:tcPr>
          <w:p w14:paraId="237F0DF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希望自学算法的在职开发者或考研学生</w:t>
            </w:r>
          </w:p>
        </w:tc>
        <w:tc>
          <w:tcPr>
            <w:tcW w:w="2835" w:type="dxa"/>
            <w:vAlign w:val="center"/>
          </w:tcPr>
          <w:p w14:paraId="5491098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工作之余复习、考研复试前突击；通过实验加深印象。</w:t>
            </w:r>
          </w:p>
        </w:tc>
        <w:tc>
          <w:tcPr>
            <w:tcW w:w="2835" w:type="dxa"/>
            <w:vAlign w:val="center"/>
          </w:tcPr>
          <w:p w14:paraId="3FEDEF7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完整覆盖经典算法；不依赖网络。</w:t>
            </w:r>
          </w:p>
        </w:tc>
      </w:tr>
    </w:tbl>
    <w:p w14:paraId="36E9516E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3.3  功能需求</w:t>
      </w:r>
    </w:p>
    <w:p w14:paraId="3FEED67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功能需求编号遵循 IEEE 830 风格（FR-XXX），按功能模块成组组织。</w:t>
      </w:r>
    </w:p>
    <w:p w14:paraId="17967A57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3.3.1  模块 1：导航与布局（NAV）</w:t>
      </w:r>
    </w:p>
    <w:p w14:paraId="0040DCC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FR-001：顶部导航栏自左到右依次显示：应用 Logo + 名称（“算法过程可视化系统”）、当前算法标签（如“冒泡排序 简单”、“快速排序 中等”、“Dijkstra 中等+”），用户点击标签可快速切换不同算法。</w:t>
      </w:r>
    </w:p>
    <w:p w14:paraId="024AEEC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FR-002：切换算法时主区域应即时切换至对应算法画布，并保留上一算法的输入历史；切换过程必须重置当前播放状态，避免上一算法残留动画。</w:t>
      </w:r>
    </w:p>
    <w:p w14:paraId="67DB4C5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FR-003：系统采用统一深色主题（背景 #0F172A，主色 #3B82F6，强调色 #F59E0B）；节点高亮、当前操作元素采用对比色提示（如黄色高亮当前源点）。</w:t>
      </w:r>
    </w:p>
    <w:p w14:paraId="577BB8F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FR-004：页面布局采用左右两栏：左侧固定宽度的控制面板，右侧弹性宽度的可视化画布；在窗口缩放时画布自适应。</w:t>
      </w:r>
    </w:p>
    <w:p w14:paraId="0E0446EA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3.3.2  模块 2：输入数据（DATA）</w:t>
      </w:r>
    </w:p>
    <w:p w14:paraId="4C1199F5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FR-010：“输入数据”面板根据当前算法类型显示不同输入控件：图算法显示节点数、源点选择、邻接边列表（每行格式“起点,终点,权重”）；排序算法显示数组输入框。</w:t>
      </w:r>
    </w:p>
    <w:p w14:paraId="006F113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FR-011：用户可点击“随机图/随机数据”按钮，根据当前算法生成合规数据：图算法生成连通图，数组生成指定长度的随机数组；点击“使用输入”按钮将当前输入应用到画布。</w:t>
      </w:r>
    </w:p>
    <w:p w14:paraId="451C3AB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FR-012：面板提供至少 3 条预置“测试用例”（如 5 节点图 / 6 节点图 / 4 节点图），用户点击即可一键载入对应数据。</w:t>
      </w:r>
    </w:p>
    <w:p w14:paraId="7DDF151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FR-013：系统应对非法输入（非数字、起点/终点超出节点数、空输入等）进行校验，以红色边框与文案提示用户。</w:t>
      </w:r>
    </w:p>
    <w:p w14:paraId="003819C8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3.3.3  模块 3：算法可视化画布（CAN）</w:t>
      </w:r>
    </w:p>
    <w:p w14:paraId="2156317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FR-020：系统应为每一类数据结构提供专用画布渲染器（不套用统一模板）：图算法以节点+加权边、线性表以节点+指针、栈/队列以纵/横向容器、树以分层节点、排序以柱状条带。</w:t>
      </w:r>
    </w:p>
    <w:p w14:paraId="3E52AB6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FR-021：画布上节点应显示节点标签（如 A、B、C）；边应显示权重；图算法的每个节点下方显示当前最短距离（如 0、∞）。</w:t>
      </w:r>
    </w:p>
    <w:p w14:paraId="06AE029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FR-022：在算法每一步执行时，应高亮当前操作元素：当前源点、被访问节点、被松弛的边、被比较元素等，至少使用三种以上颜色语义（默认 / 当前 / 已访问）。</w:t>
      </w:r>
    </w:p>
    <w:p w14:paraId="200CB68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FR-023：画布应在窗口尺寸变化时自适应缩放；元素过多时自动启用滚动条而非压缩元素。</w:t>
      </w:r>
    </w:p>
    <w:p w14:paraId="400E2F05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3.3.4  模块 4：播放控制（PLAY）</w:t>
      </w:r>
    </w:p>
    <w:p w14:paraId="123FD07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FR-030：“播放控制”面板提供 4 个按钮：重置、上一步、播放、下一步。下方提供速度滑块（默认 700 ms，可在 100–2000 ms 间调节）。</w:t>
      </w:r>
    </w:p>
    <w:p w14:paraId="696433D6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FR-031：面板下方实时显示当前进度（如“步骤 1 / 30”），并随播放推进自动更新。</w:t>
      </w:r>
    </w:p>
    <w:p w14:paraId="53B3A8E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FR-032：系统应实现状态机驱动：idle / running / paused / completed 四态可控转换；已完成状态下禁用播放与单步按钮。</w:t>
      </w:r>
    </w:p>
    <w:p w14:paraId="76538D36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FR-033：播放控制操作应支持键盘快捷键：Space 播放/暂停、← / → 单步、R 重置。</w:t>
      </w:r>
    </w:p>
    <w:p w14:paraId="51722BBA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3.3.5  模块 5：当前步骤说明（STEP）</w:t>
      </w:r>
    </w:p>
    <w:p w14:paraId="4D42F8E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FR-040：“当前步骤”面板用一段简短自然语言描述当前帧的核心操作，例如“初始化：源点 A(0)，dist[0]=0，其余为 ∞”。</w:t>
      </w:r>
    </w:p>
    <w:p w14:paraId="0E653BA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FR-041：步骤说明随播放进度实时刷新；用户可在“暂停”状态下停留观察。</w:t>
      </w:r>
    </w:p>
    <w:p w14:paraId="0C9616D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FR-042：步骤说明应紧扣源码逻辑（如对应代码行的语义），便于学习者建立“代码-状态”映射。</w:t>
      </w:r>
    </w:p>
    <w:p w14:paraId="3C8118BD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3.3.6  模块 6：复杂度展示（COMP）</w:t>
      </w:r>
    </w:p>
    <w:p w14:paraId="20EA3D3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FR-050：“复杂度”面板始终显示当前算法的时间复杂度（如 O((V+E) log V)）与空间复杂度（如 O(V)）。</w:t>
      </w:r>
    </w:p>
    <w:p w14:paraId="16C825A6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FR-051：复杂度信息以醒目颜色显示，便于学习者一眼对比不同算法的性能差异。</w:t>
      </w:r>
    </w:p>
    <w:p w14:paraId="7C25EFB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FR-052：面板支持鼠标悬浮显示复杂度推导简要说明（V 为节点数，E 为边数等）。</w:t>
      </w:r>
    </w:p>
    <w:p w14:paraId="08ABCC14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3.3.7  模块 7：算法目录与详情（NAV2）</w:t>
      </w:r>
    </w:p>
    <w:p w14:paraId="6F890D6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FR-060：应用支持按分类（线性表 / 栈队列 / 树 / 图 / 排序 / 递归）展开算法目录，用户可点击进入对应算法画布。</w:t>
      </w:r>
    </w:p>
    <w:p w14:paraId="6988F85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FR-061：每个算法应在画布顶部显示标题（如“Dijkstra 最短路径（中等+）”）和简要说明，如“贪心算法，每次从未访问节点中选择距离源点最近的节点，然后松弛其所有邻接边”。</w:t>
      </w:r>
    </w:p>
    <w:p w14:paraId="63291E1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FR-062：算法名称旁的难度徽章采用文字（简单 / 中等 / 中等+ / 高），分别对应不同的颜色背景。</w:t>
      </w:r>
    </w:p>
    <w:p w14:paraId="0FB2D5D7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3.4  非功能需求</w:t>
      </w:r>
    </w:p>
    <w:p w14:paraId="7F46C818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3.4.1  性能需求</w:t>
      </w:r>
    </w:p>
    <w:p w14:paraId="02F9509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动画帧率：可视化画布在常规规模（数组长度 ≤ 100、图节点 ≤ 30、树高度 ≤ 8）下保持 ≥ 50 FPS。</w:t>
      </w:r>
    </w:p>
    <w:p w14:paraId="219096F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响应时间：单步切换、用例载入、面板切换响应时间 ≤ 200 ms（基于 i5-8500U / 8 GB 内存）。</w:t>
      </w:r>
    </w:p>
    <w:p w14:paraId="213DB32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启动时间：首次加载 ≤ 2 s，热加载（已缓存）≤ 1 s。</w:t>
      </w:r>
    </w:p>
    <w:p w14:paraId="6083F615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资源占用：浏览器进程内存 ≤ 200 MB，CPU 空闲态 ≤ 3%，播放态 ≤ 25%。</w:t>
      </w:r>
    </w:p>
    <w:p w14:paraId="5446B12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构建产物：生产环境 JS 总大小 ≤ 1 MB（gzip 后），首屏请求数 ≤ 10。</w:t>
      </w:r>
    </w:p>
    <w:p w14:paraId="1EE453F1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3.4.2  兼容性需求</w:t>
      </w:r>
    </w:p>
    <w:p w14:paraId="6B25620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操作系统：Windows 10/11、macOS 11+、Ubuntu 20.04+ 主流发行版。</w:t>
      </w:r>
    </w:p>
    <w:p w14:paraId="25B3627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浏览器：Chrome 100+、Firefox 100+、Edge 100+；Safari 15+；建议使用 Chromium 内核浏览器。</w:t>
      </w:r>
    </w:p>
    <w:p w14:paraId="41CAED9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屏幕分辨率：最低支持 1366×768，推荐 1920×1080；支持高分辨率（≥ 200% 缩放）下文字与图形不失真。</w:t>
      </w:r>
    </w:p>
    <w:p w14:paraId="6403EDE5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硬件要求：CPU x64 双核 1.6 GHz 以上、内存 4 GB 以上、磁盘剩余 ≥ 200 MB。</w:t>
      </w:r>
    </w:p>
    <w:p w14:paraId="71F84F5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GPU：要求支持 Canvas 2D 硬件加速，否则自动降级为低帧率渲染并提示用户。</w:t>
      </w:r>
    </w:p>
    <w:p w14:paraId="2A868DF5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3.4.3  易用性需求</w:t>
      </w:r>
    </w:p>
    <w:p w14:paraId="08276DC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交互规范：遵循平台原生快捷键习惯（Ctrl/⌘ 通用），按钮命中区域 ≥ 32×32 px；表单组件遵循统一深色主题。</w:t>
      </w:r>
    </w:p>
    <w:p w14:paraId="06358A9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学习成本：新用户从启动到完成第一次算法播放不超过 1 分钟；首屏内有完整的可视化提示。</w:t>
      </w:r>
    </w:p>
    <w:p w14:paraId="2A2330D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操作容错：所有破坏性操作（清空输入、重置）需弹窗二次确认；导入非法输入给出明确错误信息。</w:t>
      </w:r>
    </w:p>
    <w:p w14:paraId="00E7E2A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国际化预留：UI 文案集中于资源字典，便于后续接入英文等其他语言。</w:t>
      </w:r>
    </w:p>
    <w:p w14:paraId="1F796897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3.4.4  安全与合规需求</w:t>
      </w:r>
    </w:p>
    <w:p w14:paraId="2CA32CA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数据本地性：用户输入的测试数据仅在当前浏览器会话中存在，不通过网络外发。</w:t>
      </w:r>
    </w:p>
    <w:p w14:paraId="3792328B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隐私采集规则：不采集用户个人信息、不上报埋点。</w:t>
      </w:r>
    </w:p>
    <w:p w14:paraId="4EC30B05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依赖供应链：定期使用 npm audit 扫描第三方依赖漏洞，CVSS ≥ 7 的高危漏洞需在 1 周内升级。</w:t>
      </w:r>
    </w:p>
    <w:p w14:paraId="6D27310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XSS 防护：用户输入的字符串在显示前一律转义，不直接通过 v-html 渲染。</w:t>
      </w:r>
    </w:p>
    <w:p w14:paraId="1B9A19B0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3.4.5  无障碍需求</w:t>
      </w:r>
    </w:p>
    <w:p w14:paraId="2A544C3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颜色对比：在深色主题下文字与背景对比度 ≥ 4.5:1，达到 WCAG 2.1 AA 级。</w:t>
      </w:r>
    </w:p>
    <w:p w14:paraId="1895E49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色弱适配：高亮色不仅依赖颜色，亦伴随形状/边框变化（如选中节点同时加粗描边）。</w:t>
      </w:r>
    </w:p>
    <w:p w14:paraId="50B29B9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动效适配：用户可通过暂停按钮随时停止动画，便于晕动症用户。</w:t>
      </w:r>
    </w:p>
    <w:p w14:paraId="64EC2AD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键盘可达：核心操作（播放/暂停、单步、切换算法）均可通过键盘完成，无需鼠标。</w:t>
      </w:r>
    </w:p>
    <w:p w14:paraId="7648B991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3.4.6  可维护性需求</w:t>
      </w:r>
    </w:p>
    <w:p w14:paraId="665C76C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组件复用规则：通用控件（按钮、滑块、面板）统一封装于 components/ui/ 目录；算法组件遵循统一接口契约 { name, difficulty, complexity, render(), runStep() }。</w:t>
      </w:r>
    </w:p>
    <w:p w14:paraId="126FD99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代码规范：ESLint + Prettier 强制约束；每次提交前自动格式化。</w:t>
      </w:r>
    </w:p>
    <w:p w14:paraId="2017717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命名规范：组件 PascalCase（如 LinearList.vue）；函数 camelCase；事件 kebab-case。</w:t>
      </w:r>
    </w:p>
    <w:p w14:paraId="667D349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测试覆盖：核心算法逻辑单测覆盖率 ≥ 70%；关键交互手工 E2E 用例 ≥ 10 条。</w:t>
      </w:r>
    </w:p>
    <w:p w14:paraId="20A1DEF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可扩展性：新增一个算法仅需实现统一接口并注册到目录配置文件，框架代码零改动。</w:t>
      </w:r>
    </w:p>
    <w:p w14:paraId="7F0ADDD8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4  UML 与数据建模</w:t>
      </w:r>
    </w:p>
    <w:p w14:paraId="493F173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本章承载需求阶段的可视化建模产出，配套对应图表。</w:t>
      </w:r>
    </w:p>
    <w:p w14:paraId="6AD3636F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4.1  系统用例图</w:t>
      </w:r>
    </w:p>
    <w:p w14:paraId="7CC5EBB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主参与者：学生（STU）、教师（TCH）、自学者（DEV）。核心用例包括：浏览算法目录、选择算法、输入数据、随机生成数据、载入预置用例、播放/暂停/单步、查看当前步骤说明、查看复杂度信息、切换算法。其中“首次启动引导”作为 include 关系附属于“选择算法”。</w:t>
      </w:r>
    </w:p>
    <w:p w14:paraId="47F420FB">
      <w:r>
        <w:drawing>
          <wp:inline distT="0" distB="0" distL="114300" distR="114300">
            <wp:extent cx="5039995" cy="342138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2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1D45">
      <w:pPr>
        <w:spacing w:before="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 4-1  系统用例图</w:t>
      </w:r>
    </w:p>
    <w:p w14:paraId="1B293113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4.2  整体架构图 / 包图</w:t>
      </w:r>
    </w:p>
    <w:p w14:paraId="03064D5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采用三层 + 旁支的架构：表现层（Vue 单文件组件：Sidebar / Topbar / Canvas / Controls / DataPanel / StepPanel / ComplexityPanel）→ 领域层（algorithms/：图算法、排序、线性表、栈队列、树结构等）→ 基础设施层（router/、store/、utils/、theme/）；状态管理（Pinia）作为旁支贯通三层。三层之间通过响应式数据流与事件回调通信，避免单向耦合，保证模块可独立替换。</w:t>
      </w:r>
    </w:p>
    <w:p w14:paraId="26AC4333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4.3  核心业务类图</w:t>
      </w:r>
    </w:p>
    <w:p w14:paraId="506CB60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核心类：Algorithm（抽象基类，含 name、difficulty、timeComplexity、spaceComplexity、code、init、step、reset）；GraphAlgorithm（Dijkstra 等）、SortingAlgorithm（冒泡 / 快速）、LinearListAlgorithm、TreeAlgorithm、StackQueueAlgorithm 等具体子类；Tracer（步骤记录器）；Stepper（播放状态机：idle/running/paused/completed）；TestCase（输入数据 + 元信息）。类间关系：Algorithm 与 Tracer 是聚合关系；Stepper 与 Algorithm 是关联关系（一个 Stepper 可驱动一个 Algorithm 的步骤序列）。</w:t>
      </w:r>
    </w:p>
    <w:p w14:paraId="60B35623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4.4  关键流程活动图</w:t>
      </w:r>
    </w:p>
    <w:p w14:paraId="47D36AB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图给出系统最核心的“算法播放主流程”活动图，覆盖从启动应用、选择算法、数据校验、构建步骤序列、渲染画布、按用户操作分支推进帧、直到全部步骤完成的全过程。决策节点（菱形）出现在“是否随机数据 / 校验通过 / 操作类型 / 是否末步”四处，充分体现了播放控制的状态分支。</w:t>
      </w:r>
    </w:p>
    <w:p w14:paraId="3B7F8CDB">
      <w:r>
        <w:drawing>
          <wp:inline distT="0" distB="0" distL="114300" distR="114300">
            <wp:extent cx="4319905" cy="5598160"/>
            <wp:effectExtent l="0" t="0" r="1079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5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A0AF">
      <w:pPr>
        <w:spacing w:before="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 4-2  算法播放主流程活动图</w:t>
      </w:r>
    </w:p>
    <w:p w14:paraId="06A59133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4.5  数据流图（DFD）</w:t>
      </w:r>
    </w:p>
    <w:p w14:paraId="35DE435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为表达系统内外的数据搬运过程，采用 Yourdon-DeMarco 风格的数据流图（DFD）。外部实体包括“用户”“浏览器屏幕”“浏览器存储”“导出数据”；内部处理 P1–P5 涵盖数据输入与校验、算法执行与追踪、渲染与同步、用例与日志管理、导出引擎；数据存储 D1（用例库 TestCase）和 D2（执行日志 ExecutionLog）。数据流以箭头命名表达流向与含义，整体形成完整闭环，无悬空数据流。</w:t>
      </w:r>
    </w:p>
    <w:p w14:paraId="7D4F14F8">
      <w:r>
        <w:drawing>
          <wp:inline distT="0" distB="0" distL="114300" distR="114300">
            <wp:extent cx="5039995" cy="3649345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A015">
      <w:pPr>
        <w:spacing w:before="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 4-3  数据流图（DFD 一层展开）</w:t>
      </w:r>
    </w:p>
    <w:p w14:paraId="0A419C51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4.6  状态机图（播放控制）</w:t>
      </w:r>
    </w:p>
    <w:p w14:paraId="20BCB59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状态：idle、running、paused、completed。事件与转换：idle —play→ running； idle —stepForward→ paused； running —pause→ paused； paused —play→ running； running —last step done→ completed； completed —reset→ idle； 任意 —reset→ idle。</w:t>
      </w:r>
    </w:p>
    <w:p w14:paraId="0E1BEF66">
      <w:r>
        <w:drawing>
          <wp:inline distT="0" distB="0" distL="114300" distR="114300">
            <wp:extent cx="4679950" cy="2549525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8468">
      <w:pPr>
        <w:spacing w:before="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 4-4  播放控制状态机图</w:t>
      </w:r>
    </w:p>
    <w:p w14:paraId="1DEB5BF9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4.7  数据模型设计：E-R 图与 DBML</w:t>
      </w:r>
    </w:p>
    <w:p w14:paraId="1062ABF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本系统的本地持久化数据建模为 4 个实体：Algorithm（算法元数据，运行时常量）、TestCase（用户保存的输入用例）、ExecutionLog（每次运行产生的执行日志）、Preference（用户偏好键值对）。其中 Algorithm ↔ TestCase 为一对多“拥有”关系；Algorithm ↔ ExecutionLog 为一对多“产生”关系；TestCase ↔ ExecutionLog 为一对多“包含”关系。</w:t>
      </w:r>
    </w:p>
    <w:p w14:paraId="0D3D7EB1">
      <w:r>
        <w:drawing>
          <wp:inline distT="0" distB="0" distL="114300" distR="114300">
            <wp:extent cx="5039995" cy="3342640"/>
            <wp:effectExtent l="0" t="0" r="190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1E8D">
      <w:pPr>
        <w:spacing w:before="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 4-5  本地数据 E-R 图</w:t>
      </w:r>
    </w:p>
    <w:p w14:paraId="38C32E8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若启用本地持久化（如 IndexedDB），主要表的 DBML 描述如下：</w:t>
      </w:r>
    </w:p>
    <w:p w14:paraId="29861A83">
      <w:pPr>
        <w:spacing w:line="288" w:lineRule="auto"/>
        <w:ind w:left="480" w:firstLine="0"/>
      </w:pPr>
      <w:r>
        <w:rPr>
          <w:rFonts w:ascii="Consolas" w:hAnsi="Consolas" w:eastAsia="宋体"/>
          <w:b w:val="0"/>
          <w:sz w:val="21"/>
        </w:rPr>
        <w:t>Table TestCase {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id           int [pk, increment]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algorithm_id varchar [not null]   // 算法标识，如 'graph.dijkstra'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name         varchar [not null]   // 用例名称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payload      text    [not null]   // 输入数据（JSON 字符串）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created_at   datetime [default: `now()`]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updated_at   datetime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Indexes { (algorithm_id, name) [unique] }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}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Table ExecutionLog {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id           int [pk, increment]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algorithm_id varchar [not null]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case_id      int [ref: &gt; TestCase.id, null]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steps        text [not null]      // 步骤序列（JSON）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duration_ms  int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created_at   datetime [default: `now()`]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}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Table Preference {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key   varchar [pk]   // theme / animation / shortcut / language ...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value text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}</w:t>
      </w:r>
    </w:p>
    <w:p w14:paraId="4E23FF0C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5  AI 辅助需求分析的应用</w:t>
      </w:r>
    </w:p>
    <w:p w14:paraId="576F763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本项目在需求阶段以 AI 工具作为协同生产力，把 AI 用作“能 7×24 小时陪同思考的需求工程师”，覆盖需求挖掘、用例生成、风险扫描、UML/DBML 建模、文档润色等环节。团队约定：AI 仅生成草稿与候选答案，所有产出必须经人工评审、复核与定稿后才会进入文档。</w:t>
      </w:r>
    </w:p>
    <w:p w14:paraId="6D7F10F8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5.1  应用目标与原则</w:t>
      </w:r>
    </w:p>
    <w:p w14:paraId="39B7172B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原则一“放大不替代”：AI 用于放大团队的需求覆盖度与产出速度，但不替代团队对业务的判断与决策。</w:t>
      </w:r>
    </w:p>
    <w:p w14:paraId="41FD2D7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原则二“可追溯”：所有 AI 产出都登记在文档版本记录中，并附人工复核记录，便于回溯。</w:t>
      </w:r>
    </w:p>
    <w:p w14:paraId="1A7922E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原则三“分阶段使用”：需求挖掘 → 用例生成 → 风险扫描 → 建模辅助 → 文案润色，分阶段调用，避免“一锅烩”。</w:t>
      </w:r>
    </w:p>
    <w:p w14:paraId="04B47EF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原则四“数据脱敏”：禁止把团队成员个人信息、未公开课题数据上传给在线 AI；本地知识脱敏后再使用。</w:t>
      </w:r>
    </w:p>
    <w:p w14:paraId="75F903AD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5.2  应用场景与对应工具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1984"/>
        <w:gridCol w:w="1701"/>
      </w:tblGrid>
      <w:tr w14:paraId="5C82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788F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应用场景</w:t>
            </w:r>
          </w:p>
        </w:tc>
        <w:tc>
          <w:tcPr>
            <w:tcW w:w="3402" w:type="dxa"/>
            <w:vAlign w:val="center"/>
          </w:tcPr>
          <w:p w14:paraId="12C8C52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AI 在这里做什么</w:t>
            </w:r>
          </w:p>
        </w:tc>
        <w:tc>
          <w:tcPr>
            <w:tcW w:w="1984" w:type="dxa"/>
            <w:vAlign w:val="center"/>
          </w:tcPr>
          <w:p w14:paraId="1D8040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使用工具</w:t>
            </w:r>
          </w:p>
        </w:tc>
        <w:tc>
          <w:tcPr>
            <w:tcW w:w="1701" w:type="dxa"/>
            <w:vAlign w:val="center"/>
          </w:tcPr>
          <w:p w14:paraId="732C30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采纳比例</w:t>
            </w:r>
          </w:p>
        </w:tc>
      </w:tr>
      <w:tr w14:paraId="27E6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33BEC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需求拆解</w:t>
            </w:r>
          </w:p>
        </w:tc>
        <w:tc>
          <w:tcPr>
            <w:tcW w:w="3402" w:type="dxa"/>
            <w:vAlign w:val="center"/>
          </w:tcPr>
          <w:p w14:paraId="3FE317B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把模糊的“做一个算法可视化”愿景拆解为 7 个功能模块、30+ 条 FR。</w:t>
            </w:r>
          </w:p>
        </w:tc>
        <w:tc>
          <w:tcPr>
            <w:tcW w:w="1984" w:type="dxa"/>
            <w:vAlign w:val="center"/>
          </w:tcPr>
          <w:p w14:paraId="184014C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Trae IDE / ChatGPT</w:t>
            </w:r>
          </w:p>
        </w:tc>
        <w:tc>
          <w:tcPr>
            <w:tcW w:w="1701" w:type="dxa"/>
            <w:vAlign w:val="center"/>
          </w:tcPr>
          <w:p w14:paraId="6F72330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60% / 修订 30% / 剔除 10%</w:t>
            </w:r>
          </w:p>
        </w:tc>
      </w:tr>
      <w:tr w14:paraId="22DE5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CD8BC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用例与边界条件生成</w:t>
            </w:r>
          </w:p>
        </w:tc>
        <w:tc>
          <w:tcPr>
            <w:tcW w:w="3402" w:type="dxa"/>
            <w:vAlign w:val="center"/>
          </w:tcPr>
          <w:p w14:paraId="47B353F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针对每个算法批量生成正常/边界/异常输入。</w:t>
            </w:r>
          </w:p>
        </w:tc>
        <w:tc>
          <w:tcPr>
            <w:tcW w:w="1984" w:type="dxa"/>
            <w:vAlign w:val="center"/>
          </w:tcPr>
          <w:p w14:paraId="5BFD2CB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Claude Code</w:t>
            </w:r>
          </w:p>
        </w:tc>
        <w:tc>
          <w:tcPr>
            <w:tcW w:w="1701" w:type="dxa"/>
            <w:vAlign w:val="center"/>
          </w:tcPr>
          <w:p w14:paraId="74B4B63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65%</w:t>
            </w:r>
          </w:p>
        </w:tc>
      </w:tr>
      <w:tr w14:paraId="031C0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8A69E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风险点识别</w:t>
            </w:r>
          </w:p>
        </w:tc>
        <w:tc>
          <w:tcPr>
            <w:tcW w:w="3402" w:type="dxa"/>
            <w:vAlign w:val="center"/>
          </w:tcPr>
          <w:p w14:paraId="6974A28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枚举浏览器兼容、动画性能、字体渲染、依赖供应链等可能踩坑点。</w:t>
            </w:r>
          </w:p>
        </w:tc>
        <w:tc>
          <w:tcPr>
            <w:tcW w:w="1984" w:type="dxa"/>
            <w:vAlign w:val="center"/>
          </w:tcPr>
          <w:p w14:paraId="1CBF0A3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ChatGPT</w:t>
            </w:r>
          </w:p>
        </w:tc>
        <w:tc>
          <w:tcPr>
            <w:tcW w:w="1701" w:type="dxa"/>
            <w:vAlign w:val="center"/>
          </w:tcPr>
          <w:p w14:paraId="43DCA5F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50%</w:t>
            </w:r>
          </w:p>
        </w:tc>
      </w:tr>
      <w:tr w14:paraId="1A1E2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CDF1B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UML / DBML 建模</w:t>
            </w:r>
          </w:p>
        </w:tc>
        <w:tc>
          <w:tcPr>
            <w:tcW w:w="3402" w:type="dxa"/>
            <w:vAlign w:val="center"/>
          </w:tcPr>
          <w:p w14:paraId="22FFC93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依据自然语言需求生成用例图、类图、E-R 图骨架与 DBML 表。</w:t>
            </w:r>
          </w:p>
        </w:tc>
        <w:tc>
          <w:tcPr>
            <w:tcW w:w="1984" w:type="dxa"/>
            <w:vAlign w:val="center"/>
          </w:tcPr>
          <w:p w14:paraId="5F881FF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Claude Code + python-docx</w:t>
            </w:r>
          </w:p>
        </w:tc>
        <w:tc>
          <w:tcPr>
            <w:tcW w:w="1701" w:type="dxa"/>
            <w:vAlign w:val="center"/>
          </w:tcPr>
          <w:p w14:paraId="6BC14B2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70%</w:t>
            </w:r>
          </w:p>
        </w:tc>
      </w:tr>
      <w:tr w14:paraId="3853A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DE4A0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文档润色</w:t>
            </w:r>
          </w:p>
        </w:tc>
        <w:tc>
          <w:tcPr>
            <w:tcW w:w="3402" w:type="dxa"/>
            <w:vAlign w:val="center"/>
          </w:tcPr>
          <w:p w14:paraId="05947F6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对功能描述、错误提示、引导文案统一风格、纠正语病。</w:t>
            </w:r>
          </w:p>
        </w:tc>
        <w:tc>
          <w:tcPr>
            <w:tcW w:w="1984" w:type="dxa"/>
            <w:vAlign w:val="center"/>
          </w:tcPr>
          <w:p w14:paraId="55C170E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ChatGPT</w:t>
            </w:r>
          </w:p>
        </w:tc>
        <w:tc>
          <w:tcPr>
            <w:tcW w:w="1701" w:type="dxa"/>
            <w:vAlign w:val="center"/>
          </w:tcPr>
          <w:p w14:paraId="5499514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80%</w:t>
            </w:r>
          </w:p>
        </w:tc>
      </w:tr>
      <w:tr w14:paraId="31E00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D1129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可行性论证</w:t>
            </w:r>
          </w:p>
        </w:tc>
        <w:tc>
          <w:tcPr>
            <w:tcW w:w="3402" w:type="dxa"/>
            <w:vAlign w:val="center"/>
          </w:tcPr>
          <w:p w14:paraId="7FC40D1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从经济、操作、合规多维度补全可行性研究的论证逻辑。</w:t>
            </w:r>
          </w:p>
        </w:tc>
        <w:tc>
          <w:tcPr>
            <w:tcW w:w="1984" w:type="dxa"/>
            <w:vAlign w:val="center"/>
          </w:tcPr>
          <w:p w14:paraId="04F2AC3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ChatGPT</w:t>
            </w:r>
          </w:p>
        </w:tc>
        <w:tc>
          <w:tcPr>
            <w:tcW w:w="1701" w:type="dxa"/>
            <w:vAlign w:val="center"/>
          </w:tcPr>
          <w:p w14:paraId="3E467D0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55%</w:t>
            </w:r>
          </w:p>
        </w:tc>
      </w:tr>
    </w:tbl>
    <w:p w14:paraId="591FD7A2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5.3  工作流与示范提示词（Prompt）</w:t>
      </w:r>
    </w:p>
    <w:p w14:paraId="10C9D45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团队对 AI 的使用统一遵循“四步工作流”：① 设定角色与上下文 → ② 给出明确目标与产出格式 → ③ 提供输入材料与约束 → ④ 要求自我反思与校对。下面给出几条实际使用过的提示词模板。</w:t>
      </w:r>
    </w:p>
    <w:p w14:paraId="6AFC57CB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5.3.1  提示词 P1：需求拆解</w:t>
      </w:r>
    </w:p>
    <w:p w14:paraId="0824750D">
      <w:pPr>
        <w:spacing w:line="288" w:lineRule="auto"/>
        <w:ind w:left="480" w:firstLine="0"/>
      </w:pPr>
      <w:r>
        <w:rPr>
          <w:rFonts w:ascii="Consolas" w:hAnsi="Consolas" w:eastAsia="宋体"/>
          <w:b w:val="0"/>
          <w:sz w:val="21"/>
        </w:rPr>
        <w:t>你是一名资深需求分析师。请基于以下产品愿景：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「面向《数据结构》课程的 Web 端算法可视化实验平台，覆盖排序/线性表/栈队列/树/图/递归等算法，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提供专用画布、源码级步骤同步与测试数据闭环」。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请输出：① 不少于 6 个一级功能模块；② 每个模块下 3~5 条 IEEE 830 风格的 FR-XXX；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③ 用 Markdown 表格输出；④ 用结尾段说明你不确定的需求点（不少于 3 条）。</w:t>
      </w:r>
    </w:p>
    <w:p w14:paraId="5DBD32BD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5.3.2  提示词 P2：用例与边界条件生成</w:t>
      </w:r>
    </w:p>
    <w:p w14:paraId="1B382011">
      <w:pPr>
        <w:spacing w:line="288" w:lineRule="auto"/>
        <w:ind w:left="480" w:firstLine="0"/>
      </w:pPr>
      <w:r>
        <w:rPr>
          <w:rFonts w:ascii="Consolas" w:hAnsi="Consolas" w:eastAsia="宋体"/>
          <w:b w:val="0"/>
          <w:sz w:val="21"/>
        </w:rPr>
        <w:t>针对“Dijkstra 最短路径可视化”模块，请生成 8 条测试用例，覆盖：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① 常规连通图（5/6/4 节点）；② 极端图（n=1、n=2、孤立节点、起点等于终点）；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③ 异常输入（含字母权重、空输入、起点超出节点数）。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对每条用例输出：用例名 / 输入数据 / 预期可视化行为 / 预期最短路径 / 说明。</w:t>
      </w:r>
    </w:p>
    <w:p w14:paraId="54212D17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5.3.3  提示词 P3：风险扫描</w:t>
      </w:r>
    </w:p>
    <w:p w14:paraId="44C9ED45">
      <w:pPr>
        <w:spacing w:line="288" w:lineRule="auto"/>
        <w:ind w:left="480" w:firstLine="0"/>
      </w:pPr>
      <w:r>
        <w:rPr>
          <w:rFonts w:ascii="Consolas" w:hAnsi="Consolas" w:eastAsia="宋体"/>
          <w:b w:val="0"/>
          <w:sz w:val="21"/>
        </w:rPr>
        <w:t>你是一名 Vue.js + Vite 资深前端工程师。请列出本项目可能遇到的 10 个高风险点（含浏览器兼容、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Canvas 性能、依赖供应链、动画卡顿、移动端适配等），对每个风险输出：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现象 / 触发条件 / 严重程度（高/中/低）/ 缓解方案 / 备选方案。</w:t>
      </w:r>
    </w:p>
    <w:p w14:paraId="4A4EDA88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5.3.4  提示词 P4：UML / DBML 骨架生成</w:t>
      </w:r>
    </w:p>
    <w:p w14:paraId="4F017AF2">
      <w:pPr>
        <w:spacing w:line="288" w:lineRule="auto"/>
        <w:ind w:left="480" w:firstLine="0"/>
      </w:pPr>
      <w:r>
        <w:rPr>
          <w:rFonts w:ascii="Consolas" w:hAnsi="Consolas" w:eastAsia="宋体"/>
          <w:b w:val="0"/>
          <w:sz w:val="21"/>
        </w:rPr>
        <w:t>请基于以下需求摘要：「平台需要本地保存测试用例、执行日志、用户偏好；用例归属算法；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执行日志可关联用例，亦可独立存在；偏好使用键值对存储」，输出 DBML 表结构（含主外键、索引），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并附 PlantUML 用例图脚本，描述学生/教师/自学者对系统的核心用例。</w:t>
      </w:r>
    </w:p>
    <w:p w14:paraId="6F46F7C9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5.4  AI 辅助产出清单（实物）</w:t>
      </w:r>
    </w:p>
    <w:p w14:paraId="513938A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 编号清单初稿：AI 给出 42 条，人工修改 + 扩展至 30+ 条 FR。</w:t>
      </w:r>
    </w:p>
    <w:p w14:paraId="2D1D20B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Algorithm 抽象基类 JavaScript 接口骨架：含 8 个公开方法签名与文档注释。</w:t>
      </w:r>
    </w:p>
    <w:p w14:paraId="39FEE86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测试用例边界条件清单：覆盖 6 类算法、共计 60+ 条用例草案，最终选 30+ 条精修后入库。</w:t>
      </w:r>
    </w:p>
    <w:p w14:paraId="12FA9AE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兼容性问题预案：浏览器 Canvas 性能差异、字体渲染、依赖版本冲突等 12 条预案。</w:t>
      </w:r>
    </w:p>
    <w:p w14:paraId="125A82F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本文档第 2/3/4/6 章的部分二级标题与文案初稿。</w:t>
      </w:r>
    </w:p>
    <w:p w14:paraId="6DB6928C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5.5  效果验证与人工复核机制</w:t>
      </w:r>
    </w:p>
    <w:p w14:paraId="19A9AFB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人工复核分工：组长（孟欣）逐条核对需求与功能边界、剔除 AI 幻觉项；李佳乐复核 UI/交互可行性与文案风格；宋启悦复核测试用例覆盖度与边界条件；冀文卓复核技术选型、版本号、构建链路与法律合规。</w:t>
      </w:r>
    </w:p>
    <w:p w14:paraId="6122743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采纳率统计：AI 草稿被原样采纳约 60%，需要修改后采纳约 30%，被剔除约 10%（多为虚构 API、不准确版本号、与课程边界冲突的功能）。</w:t>
      </w:r>
    </w:p>
    <w:p w14:paraId="353E465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三级评审：AI 产出 → 单人复核 → 组内交叉评审 → 组长定稿，确保产出质量。</w:t>
      </w:r>
    </w:p>
    <w:p w14:paraId="15AE736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结论：AI 辅助显著提升了需求梳理的效率与覆盖度，但不能替代领域判断与团队对齐；在课程设计这种高强度短周期项目中，AI 的“扩展思路、补全细节、统一文风”三种能力价值最高。</w:t>
      </w:r>
    </w:p>
    <w:p w14:paraId="2DF1F505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5.6  风险与边界</w:t>
      </w:r>
    </w:p>
    <w:p w14:paraId="44D13A4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幻觉风险：AI 可能给出虚构的 API、版本号或文档链接，需通过官方文档二次核实。</w:t>
      </w:r>
    </w:p>
    <w:p w14:paraId="4B9AA545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版权风险：AI 生成的代码片段可能与开源代码相似，需用 GitHub 搜索或代码相似度工具自查。</w:t>
      </w:r>
    </w:p>
    <w:p w14:paraId="240E3C5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上下文截断风险：长文档容易超出模型上下文，团队约定单次提问产出不超过 2000 字，分批迭代。</w:t>
      </w:r>
    </w:p>
    <w:p w14:paraId="3FB25D3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数据合规风险：禁止将含个人信息、内部文档的内容直接发送给在线 AI，必须先脱敏。</w:t>
      </w:r>
    </w:p>
    <w:p w14:paraId="2A50D538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6  附录</w:t>
      </w:r>
    </w:p>
    <w:p w14:paraId="6E414F65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6.1  算法全量清单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722C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392C3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分类</w:t>
            </w:r>
          </w:p>
        </w:tc>
        <w:tc>
          <w:tcPr>
            <w:tcW w:w="7370" w:type="dxa"/>
            <w:vAlign w:val="center"/>
          </w:tcPr>
          <w:p w14:paraId="40FA19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算法清单（含难度）</w:t>
            </w:r>
          </w:p>
        </w:tc>
      </w:tr>
      <w:tr w14:paraId="0766E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29368C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线性表</w:t>
            </w:r>
          </w:p>
        </w:tc>
        <w:tc>
          <w:tcPr>
            <w:tcW w:w="7370" w:type="dxa"/>
            <w:vAlign w:val="center"/>
          </w:tcPr>
          <w:p w14:paraId="5C0DE7C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顺序表-数组（简单）；单链表-不带头节点（简单）；单链表-带头结点（简单）；双链表-不带头结点（中等）；双链表-带头结点（中等）；循环单链表（中等）；循环双链表（中等）</w:t>
            </w:r>
          </w:p>
        </w:tc>
      </w:tr>
      <w:tr w14:paraId="0B19A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514DC0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栈和队列</w:t>
            </w:r>
          </w:p>
        </w:tc>
        <w:tc>
          <w:tcPr>
            <w:tcW w:w="7370" w:type="dxa"/>
            <w:vAlign w:val="center"/>
          </w:tcPr>
          <w:p w14:paraId="32331CA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栈-顺序表（简单）；栈-链表（简单）；队列-顺序表（简单）；队列-链表（简单）；循环队列（中等）；括号匹配（简单）；表达式计算（中等）</w:t>
            </w:r>
          </w:p>
        </w:tc>
      </w:tr>
      <w:tr w14:paraId="473BA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4CBD39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树结构</w:t>
            </w:r>
          </w:p>
        </w:tc>
        <w:tc>
          <w:tcPr>
            <w:tcW w:w="7370" w:type="dxa"/>
            <w:vAlign w:val="center"/>
          </w:tcPr>
          <w:p w14:paraId="43A3DD7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二叉树-链式存储（简单）；二叉排序树（中等）；哈夫曼树（中等）；线索二叉树（中等）</w:t>
            </w:r>
          </w:p>
        </w:tc>
      </w:tr>
      <w:tr w14:paraId="2809B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322F88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图结构</w:t>
            </w:r>
          </w:p>
        </w:tc>
        <w:tc>
          <w:tcPr>
            <w:tcW w:w="7370" w:type="dxa"/>
            <w:vAlign w:val="center"/>
          </w:tcPr>
          <w:p w14:paraId="25E6912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邻接矩阵（简单）；邻接链表（简单）；BFS（中等）；DFS（中等）；Dijkstra 最短路径（中等+）</w:t>
            </w:r>
          </w:p>
        </w:tc>
      </w:tr>
      <w:tr w14:paraId="72521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9B8857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排序</w:t>
            </w:r>
          </w:p>
        </w:tc>
        <w:tc>
          <w:tcPr>
            <w:tcW w:w="7370" w:type="dxa"/>
            <w:vAlign w:val="center"/>
          </w:tcPr>
          <w:p w14:paraId="4D037B7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冒泡排序（简单）；快速排序（中等）；直接插入排序（简单）；希尔排序（中等）；简单选择排序（简单）；归并排序（中等）</w:t>
            </w:r>
          </w:p>
        </w:tc>
      </w:tr>
      <w:tr w14:paraId="49E3D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C13AC9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递归与回溯</w:t>
            </w:r>
          </w:p>
        </w:tc>
        <w:tc>
          <w:tcPr>
            <w:tcW w:w="7370" w:type="dxa"/>
            <w:vAlign w:val="center"/>
          </w:tcPr>
          <w:p w14:paraId="5115D8C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汉诺塔（中等）；棋盘覆盖（中等）；图着色（中等）；迷宫求解（中等）</w:t>
            </w:r>
          </w:p>
        </w:tc>
      </w:tr>
    </w:tbl>
    <w:p w14:paraId="0DE84033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6.2  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6EE6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BFE15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术语</w:t>
            </w:r>
          </w:p>
        </w:tc>
        <w:tc>
          <w:tcPr>
            <w:tcW w:w="6803" w:type="dxa"/>
            <w:vAlign w:val="center"/>
          </w:tcPr>
          <w:p w14:paraId="32555E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释义</w:t>
            </w:r>
          </w:p>
        </w:tc>
      </w:tr>
      <w:tr w14:paraId="5B98D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B1296A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专用画布</w:t>
            </w:r>
          </w:p>
        </w:tc>
        <w:tc>
          <w:tcPr>
            <w:tcW w:w="6803" w:type="dxa"/>
            <w:vAlign w:val="center"/>
          </w:tcPr>
          <w:p w14:paraId="774DF12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针对每一类数据结构使用对应渲染策略的可视化区域，不套用统一模板。</w:t>
            </w:r>
          </w:p>
        </w:tc>
      </w:tr>
      <w:tr w14:paraId="3482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6D0EC5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源码级步骤同步</w:t>
            </w:r>
          </w:p>
        </w:tc>
        <w:tc>
          <w:tcPr>
            <w:tcW w:w="6803" w:type="dxa"/>
            <w:vAlign w:val="center"/>
          </w:tcPr>
          <w:p w14:paraId="5808122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每一帧动画与一行真实源码、一条自然语言步骤说明三方绑定。</w:t>
            </w:r>
          </w:p>
        </w:tc>
      </w:tr>
      <w:tr w14:paraId="406DC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A3082A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测试数据闭环</w:t>
            </w:r>
          </w:p>
        </w:tc>
        <w:tc>
          <w:tcPr>
            <w:tcW w:w="6803" w:type="dxa"/>
            <w:vAlign w:val="center"/>
          </w:tcPr>
          <w:p w14:paraId="547C3FB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支持随机生成、手动输入、用例载入、结果观察的完整数据通路。</w:t>
            </w:r>
          </w:p>
        </w:tc>
      </w:tr>
      <w:tr w14:paraId="38726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517239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难度徽章</w:t>
            </w:r>
          </w:p>
        </w:tc>
        <w:tc>
          <w:tcPr>
            <w:tcW w:w="6803" w:type="dxa"/>
            <w:vAlign w:val="center"/>
          </w:tcPr>
          <w:p w14:paraId="2009B86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标注算法对学习者的认知难度，分简单 / 中等 / 中等+ / 高 四档。</w:t>
            </w:r>
          </w:p>
        </w:tc>
      </w:tr>
      <w:tr w14:paraId="20B8B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3D4218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播放速度</w:t>
            </w:r>
          </w:p>
        </w:tc>
        <w:tc>
          <w:tcPr>
            <w:tcW w:w="6803" w:type="dxa"/>
            <w:vAlign w:val="center"/>
          </w:tcPr>
          <w:p w14:paraId="4A0E2D7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单步切换之间的等待毫秒数，可在播放控制面板的滑块中调节。</w:t>
            </w:r>
          </w:p>
        </w:tc>
      </w:tr>
      <w:tr w14:paraId="23648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148CBB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状态机</w:t>
            </w:r>
          </w:p>
        </w:tc>
        <w:tc>
          <w:tcPr>
            <w:tcW w:w="6803" w:type="dxa"/>
            <w:vAlign w:val="center"/>
          </w:tcPr>
          <w:p w14:paraId="1A20A9F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由 idle / running / paused / completed 四个状态构成的播放控制模型。</w:t>
            </w:r>
          </w:p>
        </w:tc>
      </w:tr>
    </w:tbl>
    <w:p w14:paraId="32D80A6E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6.3  参考文献与引用规范</w:t>
      </w:r>
    </w:p>
    <w:p w14:paraId="0B335C0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[1] OMG, Unified Modeling Language Specification, Version 2.5.1, 2017.</w:t>
      </w:r>
    </w:p>
    <w:p w14:paraId="73EE73F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[2] DBML, Database Markup Language Specification 1.0, https://dbml.dbdiagram.io/.</w:t>
      </w:r>
    </w:p>
    <w:p w14:paraId="4323EBA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[3] IEEE Std 830-1998, IEEE Recommended Practice for Software Requirements Specifications.</w:t>
      </w:r>
    </w:p>
    <w:p w14:paraId="196DCD8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[4] GB/T 8567-2006, 计算机软件文档编制规范.</w:t>
      </w:r>
    </w:p>
    <w:p w14:paraId="3ED052E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[5] 太原理工大学软件学院. 软件工程专业毕业设计（论文）写作规范与要求(2026).</w:t>
      </w:r>
    </w:p>
    <w:p w14:paraId="2D007A8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[6] Cormen T H, Leiserson C E, Rivest R L, et al. 算法导论（第 3 版）[M]. 北京: 机械工业出版社, 2013.</w:t>
      </w:r>
    </w:p>
    <w:p w14:paraId="4F8F34C6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[7] 严蔚敏, 吴伟民. 数据结构（C 语言版）[M]. 北京: 清华大学出版社, 2011.</w:t>
      </w:r>
    </w:p>
    <w:p w14:paraId="03A6CFE6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[8] Vue.js Documentation, https://cn.vuejs.org/.</w:t>
      </w:r>
    </w:p>
    <w:p w14:paraId="0907914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[9] Vite Documentation, https://cn.vitejs.dev/.</w:t>
      </w:r>
    </w:p>
    <w:p w14:paraId="777DDE1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[10] Pinia Documentation, https://pinia.vuejs.org/zh/.</w:t>
      </w:r>
    </w:p>
    <w:p w14:paraId="3663471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[11] MDN Web Docs, Canvas API. https://developer.mozilla.org/zh-CN/docs/Web/API/Canvas_API.</w:t>
      </w:r>
    </w:p>
    <w:p w14:paraId="2924362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[12] WCAG 2.1, Web Content Accessibility Guidelines, W3C, 2018.</w:t>
      </w:r>
    </w:p>
    <w:p w14:paraId="1DAA8ABF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6.4  文档版本记录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474"/>
        <w:gridCol w:w="1417"/>
        <w:gridCol w:w="4989"/>
      </w:tblGrid>
      <w:tr w14:paraId="278B7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CA1ADD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w="1474" w:type="dxa"/>
            <w:vAlign w:val="center"/>
          </w:tcPr>
          <w:p w14:paraId="5A0975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w="1417" w:type="dxa"/>
            <w:vAlign w:val="center"/>
          </w:tcPr>
          <w:p w14:paraId="28F3E1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作者</w:t>
            </w:r>
          </w:p>
        </w:tc>
        <w:tc>
          <w:tcPr>
            <w:tcW w:w="4989" w:type="dxa"/>
            <w:vAlign w:val="center"/>
          </w:tcPr>
          <w:p w14:paraId="096BD35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变更说明</w:t>
            </w:r>
          </w:p>
        </w:tc>
      </w:tr>
      <w:tr w14:paraId="39738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EDEEBA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v0.1</w:t>
            </w:r>
          </w:p>
        </w:tc>
        <w:tc>
          <w:tcPr>
            <w:tcW w:w="1474" w:type="dxa"/>
            <w:vAlign w:val="center"/>
          </w:tcPr>
          <w:p w14:paraId="4F86938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1417" w:type="dxa"/>
            <w:vAlign w:val="center"/>
          </w:tcPr>
          <w:p w14:paraId="18535B5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孟欣</w:t>
            </w:r>
          </w:p>
        </w:tc>
        <w:tc>
          <w:tcPr>
            <w:tcW w:w="4989" w:type="dxa"/>
            <w:vAlign w:val="center"/>
          </w:tcPr>
          <w:p w14:paraId="239DE1B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初稿：完成第 1~6 章基础内容，建立全部 FR 编号与系统目标 G 编号。</w:t>
            </w:r>
          </w:p>
        </w:tc>
      </w:tr>
      <w:tr w14:paraId="2806E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8EEF6E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v0.2</w:t>
            </w:r>
          </w:p>
        </w:tc>
        <w:tc>
          <w:tcPr>
            <w:tcW w:w="1474" w:type="dxa"/>
            <w:vAlign w:val="center"/>
          </w:tcPr>
          <w:p w14:paraId="1F43C30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1417" w:type="dxa"/>
            <w:vAlign w:val="center"/>
          </w:tcPr>
          <w:p w14:paraId="04D05B7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李佳乐</w:t>
            </w:r>
          </w:p>
        </w:tc>
        <w:tc>
          <w:tcPr>
            <w:tcW w:w="4989" w:type="dxa"/>
            <w:vAlign w:val="center"/>
          </w:tcPr>
          <w:p w14:paraId="6A2EE91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补充非功能需求（性能/兼容/无障碍）与可行性研究 2.2 / 2.3 节。</w:t>
            </w:r>
          </w:p>
        </w:tc>
      </w:tr>
      <w:tr w14:paraId="5FAF9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DCA336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v0.3</w:t>
            </w:r>
          </w:p>
        </w:tc>
        <w:tc>
          <w:tcPr>
            <w:tcW w:w="1474" w:type="dxa"/>
            <w:vAlign w:val="center"/>
          </w:tcPr>
          <w:p w14:paraId="4D5E81D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1417" w:type="dxa"/>
            <w:vAlign w:val="center"/>
          </w:tcPr>
          <w:p w14:paraId="50698C1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宋启悦</w:t>
            </w:r>
          </w:p>
        </w:tc>
        <w:tc>
          <w:tcPr>
            <w:tcW w:w="4989" w:type="dxa"/>
            <w:vAlign w:val="center"/>
          </w:tcPr>
          <w:p w14:paraId="544B729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完善 UML 与数据建模章节，补充用例边界与术语表。</w:t>
            </w:r>
          </w:p>
        </w:tc>
      </w:tr>
      <w:tr w14:paraId="30E58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27C9F4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v0.4</w:t>
            </w:r>
          </w:p>
        </w:tc>
        <w:tc>
          <w:tcPr>
            <w:tcW w:w="1474" w:type="dxa"/>
            <w:vAlign w:val="center"/>
          </w:tcPr>
          <w:p w14:paraId="224C69E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1417" w:type="dxa"/>
            <w:vAlign w:val="center"/>
          </w:tcPr>
          <w:p w14:paraId="1FA2B10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冀文卓</w:t>
            </w:r>
          </w:p>
        </w:tc>
        <w:tc>
          <w:tcPr>
            <w:tcW w:w="4989" w:type="dxa"/>
            <w:vAlign w:val="center"/>
          </w:tcPr>
          <w:p w14:paraId="2607790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补充技术可行性表格、AI 辅助章节与参考文献。</w:t>
            </w:r>
          </w:p>
        </w:tc>
      </w:tr>
      <w:tr w14:paraId="45FB3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1412209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w="1474" w:type="dxa"/>
            <w:vAlign w:val="center"/>
          </w:tcPr>
          <w:p w14:paraId="349B7D5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1417" w:type="dxa"/>
            <w:vAlign w:val="center"/>
          </w:tcPr>
          <w:p w14:paraId="7DBEF43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孟欣</w:t>
            </w:r>
          </w:p>
        </w:tc>
        <w:tc>
          <w:tcPr>
            <w:tcW w:w="4989" w:type="dxa"/>
            <w:vAlign w:val="center"/>
          </w:tcPr>
          <w:p w14:paraId="3BF7123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全文按学校论文规范统稿，调整字体字号字重与页边距，提交团队评审。</w:t>
            </w:r>
          </w:p>
        </w:tc>
      </w:tr>
    </w:tbl>
    <w:p w14:paraId="19A6D13E"/>
    <w:p w14:paraId="61059401">
      <w:bookmarkStart w:id="0" w:name="_GoBack"/>
      <w:bookmarkEnd w:id="0"/>
    </w:p>
    <w:sectPr>
      <w:footerReference r:id="rId5" w:type="default"/>
      <w:pgSz w:w="12240" w:h="15840"/>
      <w:pgMar w:top="1871" w:right="1304" w:bottom="130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CDA87">
    <w:pPr>
      <w:pStyle w:val="24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PAGE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54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4124</Words>
  <Characters>4768</Characters>
  <Lines>0</Lines>
  <Paragraphs>0</Paragraphs>
  <TotalTime>1</TotalTime>
  <ScaleCrop>false</ScaleCrop>
  <LinksUpToDate>false</LinksUpToDate>
  <CharactersWithSpaces>5164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梦屿千寻</cp:lastModifiedBy>
  <dcterms:modified xsi:type="dcterms:W3CDTF">2026-06-19T15:49:51Z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eyJoZGlkIjoiNTJmMTkxNTkzYzYxNDZkZDRkYmI3ZTU2ZGNiNzJiYWMiLCJ1c2VySWQiOiIxMjg5NjU4NzI1In0=</vt:lpwstr>
  </property>
  <property fmtid="{D5CDD505-2E9C-101B-9397-08002B2CF9AE}" pid="3" name="KSOProductBuildVer">
    <vt:lpwstr>2052-12.1.0.26895</vt:lpwstr>
  </property>
  <property fmtid="{D5CDD505-2E9C-101B-9397-08002B2CF9AE}" pid="4" name="ICV">
    <vt:lpwstr>A172859BA7B64DBCBC9F4321E139BCE3_12</vt:lpwstr>
  </property>
</Properties>
</file>