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76C"/>
          <w:sz w:val="72"/>
        </w:rPr>
        <w:t>TradeReady</w:t>
      </w:r>
    </w:p>
    <w:p>
      <w:pPr>
        <w:jc w:val="center"/>
      </w:pPr>
      <w:r>
        <w:rPr>
          <w:i/>
          <w:color w:val="00878A"/>
          <w:sz w:val="32"/>
        </w:rPr>
        <w:t>AI-Powered Cross-Border Trade Compliance</w:t>
      </w:r>
    </w:p>
    <w:p>
      <w:pPr>
        <w:jc w:val="center"/>
      </w:pPr>
      <w:r>
        <w:rPr>
          <w:color w:val="555555"/>
          <w:sz w:val="24"/>
        </w:rPr>
        <w:t>Singapore  ↔  Malaysia  |  Electronics Exports &amp; Imports</w:t>
      </w:r>
    </w:p>
    <w:p/>
    <w:p>
      <w:pPr>
        <w:pBdr>
          <w:bottom w:val="single" w:sz="6" w:space="1" w:color="008788"/>
        </w:pBdr>
        <w:spacing w:before="40" w:after="40"/>
      </w:pPr>
    </w:p>
    <w:p/>
    <w:p>
      <w:pPr>
        <w:spacing w:before="360" w:after="120"/>
        <w:jc w:val="left"/>
      </w:pPr>
      <w:r>
        <w:rPr>
          <w:b/>
          <w:color w:val="1A376C"/>
          <w:sz w:val="40"/>
        </w:rPr>
        <w:t>1. The Problem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Cross-border electronics trade between Singapore and Malaysia is growing rapidly, yet the compliance process remains slow, manual, and error-prone. Sellers must navigate two separate customs regimes — each with its own HS tariff codes, duty rates, tax rules, certification requirements, and documentation checklists.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This creates real pain for businesses of all sizes:</w:t>
      </w:r>
    </w:p>
    <w:p>
      <w:pPr>
        <w:pStyle w:val="ListBullet"/>
        <w:spacing w:after="60"/>
      </w:pPr>
      <w:r>
        <w:rPr>
          <w:b/>
          <w:sz w:val="22"/>
        </w:rPr>
        <w:t xml:space="preserve">Complex regulations: </w:t>
      </w:r>
      <w:r>
        <w:rPr>
          <w:sz w:val="22"/>
        </w:rPr>
        <w:t>HS codes, duty/tax rates, and certification requirements differ between Malaysia and Singapore.</w:t>
      </w:r>
    </w:p>
    <w:p>
      <w:pPr>
        <w:pStyle w:val="ListBullet"/>
        <w:spacing w:after="60"/>
      </w:pPr>
      <w:r>
        <w:rPr>
          <w:b/>
          <w:sz w:val="22"/>
        </w:rPr>
        <w:t xml:space="preserve">High stakes: </w:t>
      </w:r>
      <w:r>
        <w:rPr>
          <w:sz w:val="22"/>
        </w:rPr>
        <w:t>Incorrect declarations lead to delays, fines, or shipment seizure.</w:t>
      </w:r>
    </w:p>
    <w:p>
      <w:pPr>
        <w:pStyle w:val="ListBullet"/>
        <w:spacing w:after="60"/>
      </w:pPr>
      <w:r>
        <w:rPr>
          <w:b/>
          <w:sz w:val="22"/>
        </w:rPr>
        <w:t xml:space="preserve">Manual research: </w:t>
      </w:r>
      <w:r>
        <w:rPr>
          <w:sz w:val="22"/>
        </w:rPr>
        <w:t>Sellers must read official customs portals and interpret legal language themselves.</w:t>
      </w:r>
    </w:p>
    <w:p>
      <w:pPr>
        <w:pStyle w:val="ListBullet"/>
        <w:spacing w:after="60"/>
      </w:pPr>
      <w:r>
        <w:rPr>
          <w:b/>
          <w:sz w:val="22"/>
        </w:rPr>
        <w:t xml:space="preserve">Expensive consultants: </w:t>
      </w:r>
      <w:r>
        <w:rPr>
          <w:sz w:val="22"/>
        </w:rPr>
        <w:t>Hiring compliance experts costs thousands of dollars and adds days of turnaround time.</w:t>
      </w:r>
    </w:p>
    <w:p>
      <w:pPr>
        <w:pStyle w:val="ListBullet"/>
        <w:spacing w:after="60"/>
      </w:pPr>
      <w:r>
        <w:rPr>
          <w:b/>
          <w:sz w:val="22"/>
        </w:rPr>
        <w:t xml:space="preserve">No verification: </w:t>
      </w:r>
      <w:r>
        <w:rPr>
          <w:sz w:val="22"/>
        </w:rPr>
        <w:t>There is no easy way to double-check a declaration before it is submitted.</w:t>
      </w:r>
    </w:p>
    <w:p/>
    <w:p>
      <w:pPr>
        <w:spacing w:before="360" w:after="120"/>
        <w:jc w:val="left"/>
      </w:pPr>
      <w:r>
        <w:rPr>
          <w:b/>
          <w:color w:val="1A376C"/>
          <w:sz w:val="40"/>
        </w:rPr>
        <w:t>2. Our Solution — TradeReady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TradeReady is an AI-powered compliance assistant that turns a product photo and basic shipment details into a verified, ready-to-submit customs declaration — in seconds.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It combines OpenAI vision, a multi-agent AI pipeline, and a curated evidence store of official customs rules to automatically classify products, calculate duties and taxes, identify required certifications, and pre-fill declaration forms — all with every claim traceable back to an official source.</w:t>
      </w:r>
    </w:p>
    <w:p/>
    <w:p>
      <w:pPr>
        <w:spacing w:before="360" w:after="120"/>
        <w:jc w:val="left"/>
      </w:pPr>
      <w:r>
        <w:rPr>
          <w:b/>
          <w:color w:val="1A376C"/>
          <w:sz w:val="40"/>
        </w:rPr>
        <w:t>3. Who Is It For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1A376C"/>
          </w:tcPr>
          <w:p>
            <w:r>
              <w:rPr>
                <w:b/>
                <w:color w:val="FFFFFF"/>
                <w:sz w:val="22"/>
              </w:rPr>
              <w:t>User</w:t>
            </w:r>
          </w:p>
        </w:tc>
        <w:tc>
          <w:tcPr>
            <w:tcW w:type="dxa" w:w="4703"/>
            <w:shd w:val="clear" w:color="auto" w:fill="1A376C"/>
          </w:tcPr>
          <w:p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969"/>
            <w:shd w:val="clear" w:color="auto" w:fill="F0F7F8"/>
          </w:tcPr>
          <w:p>
            <w:r>
              <w:rPr>
                <w:sz w:val="22"/>
              </w:rPr>
              <w:t>E-commerce sellers</w:t>
            </w:r>
          </w:p>
        </w:tc>
        <w:tc>
          <w:tcPr>
            <w:tcW w:type="dxa" w:w="5669"/>
            <w:shd w:val="clear" w:color="auto" w:fill="F0F7F8"/>
          </w:tcPr>
          <w:p>
            <w:r>
              <w:rPr>
                <w:sz w:val="22"/>
              </w:rPr>
              <w:t>SMEs selling electronics on Shopee, Lazada, or direct channels shipping between SG and MY.</w:t>
            </w:r>
          </w:p>
        </w:tc>
      </w:tr>
      <w:tr>
        <w:tc>
          <w:tcPr>
            <w:tcW w:type="dxa" w:w="3969"/>
          </w:tcPr>
          <w:p>
            <w:r>
              <w:rPr>
                <w:sz w:val="22"/>
              </w:rPr>
              <w:t>Logistics providers</w:t>
            </w:r>
          </w:p>
        </w:tc>
        <w:tc>
          <w:tcPr>
            <w:tcW w:type="dxa" w:w="5669"/>
          </w:tcPr>
          <w:p>
            <w:r>
              <w:rPr>
                <w:sz w:val="22"/>
              </w:rPr>
              <w:t>Freight forwarders and 3PLs that prepare customs paperwork on behalf of their clients.</w:t>
            </w:r>
          </w:p>
        </w:tc>
      </w:tr>
      <w:tr>
        <w:tc>
          <w:tcPr>
            <w:tcW w:type="dxa" w:w="3969"/>
            <w:shd w:val="clear" w:color="auto" w:fill="F0F7F8"/>
          </w:tcPr>
          <w:p>
            <w:r>
              <w:rPr>
                <w:sz w:val="22"/>
              </w:rPr>
              <w:t>Customs brokers</w:t>
            </w:r>
          </w:p>
        </w:tc>
        <w:tc>
          <w:tcPr>
            <w:tcW w:type="dxa" w:w="5669"/>
            <w:shd w:val="clear" w:color="auto" w:fill="F0F7F8"/>
          </w:tcPr>
          <w:p>
            <w:r>
              <w:rPr>
                <w:sz w:val="22"/>
              </w:rPr>
              <w:t>Compliance professionals who need faster, auditable classification and duty estimates.</w:t>
            </w:r>
          </w:p>
        </w:tc>
      </w:tr>
    </w:tbl>
    <w:p/>
    <w:p>
      <w:pPr>
        <w:spacing w:before="360" w:after="120"/>
        <w:jc w:val="left"/>
      </w:pPr>
      <w:r>
        <w:rPr>
          <w:b/>
          <w:color w:val="1A376C"/>
          <w:sz w:val="40"/>
        </w:rPr>
        <w:t>4. How It Works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TradeReady follows a six-step workflow:</w:t>
      </w:r>
    </w:p>
    <w:p>
      <w:pPr>
        <w:pStyle w:val="ListBullet"/>
        <w:spacing w:after="60"/>
      </w:pPr>
      <w:r>
        <w:rPr>
          <w:b/>
          <w:sz w:val="22"/>
        </w:rPr>
        <w:t xml:space="preserve">Step 1 — Product Identification: </w:t>
      </w:r>
      <w:r>
        <w:rPr>
          <w:sz w:val="22"/>
        </w:rPr>
        <w:t>The seller uploads a photo of their product. TradeReady uses OpenAI Vision to automatically detect the product category (e.g. wireless earbuds, smartwatch) with a confidence score. The seller confirms the result before any compliance work begins.</w:t>
      </w:r>
    </w:p>
    <w:p>
      <w:pPr>
        <w:pStyle w:val="ListBullet"/>
        <w:spacing w:after="60"/>
      </w:pPr>
      <w:r>
        <w:rPr>
          <w:b/>
          <w:sz w:val="22"/>
        </w:rPr>
        <w:t xml:space="preserve">Step 2 — Shipment Details: </w:t>
      </w:r>
      <w:r>
        <w:rPr>
          <w:sz w:val="22"/>
        </w:rPr>
        <w:t>The seller provides basic shipment information: quantity, unit value, currency, origin, destination, and invoice number. These can be typed or captured by voice on the frontend.</w:t>
      </w:r>
    </w:p>
    <w:p>
      <w:pPr>
        <w:pStyle w:val="ListBullet"/>
        <w:spacing w:after="60"/>
      </w:pPr>
      <w:r>
        <w:rPr>
          <w:b/>
          <w:sz w:val="22"/>
        </w:rPr>
        <w:t xml:space="preserve">Step 3 — Multi-Agent Compliance Generation: </w:t>
      </w:r>
      <w:r>
        <w:rPr>
          <w:sz w:val="22"/>
        </w:rPr>
        <w:t>Five specialist AI agents run in sequence to build the full compliance package (see Section 5).</w:t>
      </w:r>
    </w:p>
    <w:p>
      <w:pPr>
        <w:pStyle w:val="ListBullet"/>
        <w:spacing w:after="60"/>
      </w:pPr>
      <w:r>
        <w:rPr>
          <w:b/>
          <w:sz w:val="22"/>
        </w:rPr>
        <w:t xml:space="preserve">Step 4 — Critic Verification: </w:t>
      </w:r>
      <w:r>
        <w:rPr>
          <w:sz w:val="22"/>
        </w:rPr>
        <w:t>An independent Critic Agent cross-checks every generated output against the evidence store — recomputing duty math, verifying HS code citations, confirming certification requirements. Only verified outputs are returned as ready-to-submit.</w:t>
      </w:r>
    </w:p>
    <w:p>
      <w:pPr>
        <w:pStyle w:val="ListBullet"/>
        <w:spacing w:after="60"/>
      </w:pPr>
      <w:r>
        <w:rPr>
          <w:b/>
          <w:sz w:val="22"/>
        </w:rPr>
        <w:t xml:space="preserve">Step 5 — Auto-Filled Declaration: </w:t>
      </w:r>
      <w:r>
        <w:rPr>
          <w:sz w:val="22"/>
        </w:rPr>
        <w:t>TradeReady delivers a pre-filled declaration form with all verified fields: HS code, duty/tax amounts, required documents, restriction status, and certification bodies.</w:t>
      </w:r>
    </w:p>
    <w:p>
      <w:pPr>
        <w:pStyle w:val="ListBullet"/>
        <w:spacing w:after="60"/>
      </w:pPr>
      <w:r>
        <w:rPr>
          <w:b/>
          <w:sz w:val="22"/>
        </w:rPr>
        <w:t xml:space="preserve">Step 6 — Human Escalation (When Needed): </w:t>
      </w:r>
      <w:r>
        <w:rPr>
          <w:sz w:val="22"/>
        </w:rPr>
        <w:t>If the Critic flags an issue — such as a missing evidence source or a maths mismatch — the case is escalated to a human compliance reviewer. Most transactions pass automatically.</w:t>
      </w:r>
    </w:p>
    <w:p/>
    <w:p>
      <w:pPr>
        <w:spacing w:before="360" w:after="120"/>
        <w:jc w:val="left"/>
      </w:pPr>
      <w:r>
        <w:rPr>
          <w:b/>
          <w:color w:val="1A376C"/>
          <w:sz w:val="40"/>
        </w:rPr>
        <w:t>5. The AI Agent Pipeline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The core of TradeReady is a multi-agent architecture where each agent is a specialist. This prevents any single model from hallucinating across too many domains and makes every output independently verifiable.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3118"/>
        <w:gridCol w:w="3969"/>
      </w:tblGrid>
      <w:tr>
        <w:tc>
          <w:tcPr>
            <w:tcW w:type="dxa" w:w="3135"/>
            <w:shd w:val="clear" w:color="auto" w:fill="1A376C"/>
          </w:tcPr>
          <w:p>
            <w:r>
              <w:rPr>
                <w:b/>
                <w:color w:val="FFFFFF"/>
                <w:sz w:val="22"/>
              </w:rPr>
              <w:t>Agent</w:t>
            </w:r>
          </w:p>
        </w:tc>
        <w:tc>
          <w:tcPr>
            <w:tcW w:type="dxa" w:w="3135"/>
            <w:shd w:val="clear" w:color="auto" w:fill="1A376C"/>
          </w:tcPr>
          <w:p>
            <w:r>
              <w:rPr>
                <w:b/>
                <w:color w:val="FFFFFF"/>
                <w:sz w:val="22"/>
              </w:rPr>
              <w:t>Role</w:t>
            </w:r>
          </w:p>
        </w:tc>
        <w:tc>
          <w:tcPr>
            <w:tcW w:type="dxa" w:w="3135"/>
            <w:shd w:val="clear" w:color="auto" w:fill="1A376C"/>
          </w:tcPr>
          <w:p>
            <w:r>
              <w:rPr>
                <w:b/>
                <w:color w:val="FFFFFF"/>
                <w:sz w:val="22"/>
              </w:rPr>
              <w:t>Output</w:t>
            </w:r>
          </w:p>
        </w:tc>
      </w:tr>
      <w:tr>
        <w:tc>
          <w:tcPr>
            <w:tcW w:type="dxa" w:w="2551"/>
            <w:shd w:val="clear" w:color="auto" w:fill="F0F7F8"/>
          </w:tcPr>
          <w:p>
            <w:r>
              <w:rPr>
                <w:b/>
                <w:sz w:val="20"/>
              </w:rPr>
              <w:t>Classification Agent</w:t>
            </w:r>
          </w:p>
        </w:tc>
        <w:tc>
          <w:tcPr>
            <w:tcW w:type="dxa" w:w="3118"/>
            <w:shd w:val="clear" w:color="auto" w:fill="F0F7F8"/>
          </w:tcPr>
          <w:p>
            <w:r>
              <w:rPr>
                <w:sz w:val="20"/>
              </w:rPr>
              <w:t>Maps product to HS &amp; local tariff codes</w:t>
            </w:r>
          </w:p>
        </w:tc>
        <w:tc>
          <w:tcPr>
            <w:tcW w:type="dxa" w:w="3969"/>
            <w:shd w:val="clear" w:color="auto" w:fill="F0F7F8"/>
          </w:tcPr>
          <w:p>
            <w:r>
              <w:rPr>
                <w:sz w:val="20"/>
              </w:rPr>
              <w:t>HS 6-digit code + jurisdiction code + confidence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Duty/Tax Agent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Calculates customs value, import duty, tax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Exact duty &amp; tax amounts + landed cost estimate</w:t>
            </w:r>
          </w:p>
        </w:tc>
      </w:tr>
      <w:tr>
        <w:tc>
          <w:tcPr>
            <w:tcW w:type="dxa" w:w="2551"/>
            <w:shd w:val="clear" w:color="auto" w:fill="F0F7F8"/>
          </w:tcPr>
          <w:p>
            <w:r>
              <w:rPr>
                <w:b/>
                <w:sz w:val="20"/>
              </w:rPr>
              <w:t>Restriction Agent</w:t>
            </w:r>
          </w:p>
        </w:tc>
        <w:tc>
          <w:tcPr>
            <w:tcW w:type="dxa" w:w="3118"/>
            <w:shd w:val="clear" w:color="auto" w:fill="F0F7F8"/>
          </w:tcPr>
          <w:p>
            <w:r>
              <w:rPr>
                <w:sz w:val="20"/>
              </w:rPr>
              <w:t>Checks certifications &amp; controlled goods rules</w:t>
            </w:r>
          </w:p>
        </w:tc>
        <w:tc>
          <w:tcPr>
            <w:tcW w:type="dxa" w:w="3969"/>
            <w:shd w:val="clear" w:color="auto" w:fill="F0F7F8"/>
          </w:tcPr>
          <w:p>
            <w:r>
              <w:rPr>
                <w:sz w:val="20"/>
              </w:rPr>
              <w:t>Restriction status + required certification bodies (SIRIM/IMDA)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Document Agent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Generates docs checklist &amp; auto-fills form fields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Required documents list + pre-filled declaration fields</w:t>
            </w:r>
          </w:p>
        </w:tc>
      </w:tr>
      <w:tr>
        <w:tc>
          <w:tcPr>
            <w:tcW w:type="dxa" w:w="2551"/>
            <w:shd w:val="clear" w:color="auto" w:fill="F0F7F8"/>
          </w:tcPr>
          <w:p>
            <w:r>
              <w:rPr>
                <w:b/>
                <w:sz w:val="20"/>
              </w:rPr>
              <w:t>Critic Agent</w:t>
            </w:r>
          </w:p>
        </w:tc>
        <w:tc>
          <w:tcPr>
            <w:tcW w:type="dxa" w:w="3118"/>
            <w:shd w:val="clear" w:color="auto" w:fill="F0F7F8"/>
          </w:tcPr>
          <w:p>
            <w:r>
              <w:rPr>
                <w:sz w:val="20"/>
              </w:rPr>
              <w:t>Independent cross-check of all outputs vs evidence</w:t>
            </w:r>
          </w:p>
        </w:tc>
        <w:tc>
          <w:tcPr>
            <w:tcW w:type="dxa" w:w="3969"/>
            <w:shd w:val="clear" w:color="auto" w:fill="F0F7F8"/>
          </w:tcPr>
          <w:p>
            <w:r>
              <w:rPr>
                <w:sz w:val="20"/>
              </w:rPr>
              <w:t>Pass / Human-review-required verdict + issues list</w:t>
            </w:r>
          </w:p>
        </w:tc>
      </w:tr>
    </w:tbl>
    <w:p/>
    <w:p>
      <w:pPr>
        <w:spacing w:before="360" w:after="120"/>
        <w:jc w:val="left"/>
      </w:pPr>
      <w:r>
        <w:rPr>
          <w:b/>
          <w:color w:val="1A376C"/>
          <w:sz w:val="40"/>
        </w:rPr>
        <w:t>6. What TradeReady Delivers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A single compliance run produces:</w:t>
      </w:r>
    </w:p>
    <w:p>
      <w:pPr>
        <w:pStyle w:val="ListBullet"/>
        <w:spacing w:after="60"/>
      </w:pPr>
      <w:r>
        <w:rPr>
          <w:b/>
          <w:sz w:val="22"/>
        </w:rPr>
        <w:t>HS code classification:</w:t>
      </w:r>
      <w:r>
        <w:rPr>
          <w:sz w:val="22"/>
        </w:rPr>
        <w:t xml:space="preserve"> with rationale and official source citation</w:t>
      </w:r>
    </w:p>
    <w:p>
      <w:pPr>
        <w:pStyle w:val="ListBullet"/>
        <w:spacing w:after="60"/>
      </w:pPr>
      <w:r>
        <w:rPr>
          <w:b/>
          <w:sz w:val="22"/>
        </w:rPr>
        <w:t>Duty &amp; tax breakdown:</w:t>
      </w:r>
      <w:r>
        <w:rPr>
          <w:sz w:val="22"/>
        </w:rPr>
        <w:t xml:space="preserve"> (customs value → import duty → tax → landed cost)</w:t>
      </w:r>
    </w:p>
    <w:p>
      <w:pPr>
        <w:pStyle w:val="ListBullet"/>
        <w:spacing w:after="60"/>
      </w:pPr>
      <w:r>
        <w:rPr>
          <w:b/>
          <w:sz w:val="22"/>
        </w:rPr>
        <w:t>Restriction status:</w:t>
      </w:r>
      <w:r>
        <w:rPr>
          <w:sz w:val="22"/>
        </w:rPr>
        <w:t xml:space="preserve"> and which certification bodies are required (e.g. SIRIM, IMDA)</w:t>
      </w:r>
    </w:p>
    <w:p>
      <w:pPr>
        <w:pStyle w:val="ListBullet"/>
        <w:spacing w:after="60"/>
      </w:pPr>
      <w:r>
        <w:rPr>
          <w:b/>
          <w:sz w:val="22"/>
        </w:rPr>
        <w:t>Required documents checklist:</w:t>
      </w:r>
      <w:r>
        <w:rPr>
          <w:sz w:val="22"/>
        </w:rPr>
        <w:t xml:space="preserve"> tailored to the destination jurisdiction</w:t>
      </w:r>
    </w:p>
    <w:p>
      <w:pPr>
        <w:pStyle w:val="ListBullet"/>
        <w:spacing w:after="60"/>
      </w:pPr>
      <w:r>
        <w:rPr>
          <w:b/>
          <w:sz w:val="22"/>
        </w:rPr>
        <w:t>Auto-filled declaration form:</w:t>
      </w:r>
      <w:r>
        <w:rPr>
          <w:sz w:val="22"/>
        </w:rPr>
        <w:t xml:space="preserve"> ready to paste into Shopee, Lazada, or a customs portal</w:t>
      </w:r>
    </w:p>
    <w:p>
      <w:pPr>
        <w:pStyle w:val="ListBullet"/>
        <w:spacing w:after="60"/>
      </w:pPr>
      <w:r>
        <w:rPr>
          <w:b/>
          <w:sz w:val="22"/>
        </w:rPr>
        <w:t>Evidence pack:</w:t>
      </w:r>
      <w:r>
        <w:rPr>
          <w:sz w:val="22"/>
        </w:rPr>
        <w:t xml:space="preserve"> — every claim linked to an official customs rule</w:t>
      </w:r>
    </w:p>
    <w:p>
      <w:pPr>
        <w:pStyle w:val="ListBullet"/>
        <w:spacing w:after="60"/>
      </w:pPr>
      <w:r>
        <w:rPr>
          <w:b/>
          <w:sz w:val="22"/>
        </w:rPr>
        <w:t>Critic report:</w:t>
      </w:r>
      <w:r>
        <w:rPr>
          <w:sz w:val="22"/>
        </w:rPr>
        <w:t xml:space="preserve"> — a pass/fail audit of all generated outputs</w:t>
      </w:r>
    </w:p>
    <w:p>
      <w:pPr>
        <w:pStyle w:val="ListBullet"/>
        <w:spacing w:after="60"/>
      </w:pPr>
      <w:r>
        <w:rPr>
          <w:b/>
          <w:sz w:val="22"/>
        </w:rPr>
        <w:t>Jurisdiction comparison:</w:t>
      </w:r>
      <w:r>
        <w:rPr>
          <w:sz w:val="22"/>
        </w:rPr>
        <w:t xml:space="preserve"> — instant diff if the seller switches from Malaysia to Singapore or vice versa</w:t>
      </w:r>
    </w:p>
    <w:p/>
    <w:p>
      <w:pPr>
        <w:spacing w:before="360" w:after="120"/>
        <w:jc w:val="left"/>
      </w:pPr>
      <w:r>
        <w:rPr>
          <w:b/>
          <w:color w:val="1A376C"/>
          <w:sz w:val="40"/>
        </w:rPr>
        <w:t>7. Why TradeReady Is Different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5102"/>
      </w:tblGrid>
      <w:tr>
        <w:tc>
          <w:tcPr>
            <w:tcW w:type="dxa" w:w="4703"/>
            <w:shd w:val="clear" w:color="auto" w:fill="1A376C"/>
          </w:tcPr>
          <w:p>
            <w:r>
              <w:rPr>
                <w:b/>
                <w:color w:val="FFFFFF"/>
                <w:sz w:val="22"/>
              </w:rPr>
              <w:t>Differentiator</w:t>
            </w:r>
          </w:p>
        </w:tc>
        <w:tc>
          <w:tcPr>
            <w:tcW w:type="dxa" w:w="4703"/>
            <w:shd w:val="clear" w:color="auto" w:fill="1A376C"/>
          </w:tcPr>
          <w:p>
            <w:r>
              <w:rPr>
                <w:b/>
                <w:color w:val="FFFFFF"/>
                <w:sz w:val="22"/>
              </w:rPr>
              <w:t>What It Means in Practice</w:t>
            </w:r>
          </w:p>
        </w:tc>
      </w:tr>
      <w:tr>
        <w:tc>
          <w:tcPr>
            <w:tcW w:type="dxa" w:w="4535"/>
            <w:shd w:val="clear" w:color="auto" w:fill="F0F7F8"/>
          </w:tcPr>
          <w:p>
            <w:r>
              <w:rPr>
                <w:b/>
                <w:sz w:val="22"/>
              </w:rPr>
              <w:t>Source-grounded outputs</w:t>
            </w:r>
          </w:p>
        </w:tc>
        <w:tc>
          <w:tcPr>
            <w:tcW w:type="dxa" w:w="5102"/>
            <w:shd w:val="clear" w:color="auto" w:fill="F0F7F8"/>
          </w:tcPr>
          <w:p>
            <w:r>
              <w:rPr>
                <w:sz w:val="22"/>
              </w:rPr>
              <w:t>Every claim is backed by an official customs rule. Users see exactly where each requirement comes from — no black-box answers.</w:t>
            </w:r>
          </w:p>
        </w:tc>
      </w:tr>
      <w:tr>
        <w:tc>
          <w:tcPr>
            <w:tcW w:type="dxa" w:w="4535"/>
          </w:tcPr>
          <w:p>
            <w:r>
              <w:rPr>
                <w:b/>
                <w:sz w:val="22"/>
              </w:rPr>
              <w:t>Critic agent cross-check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An independent AI agent re-verifies every output before it is returned. If maths is wrong or a citation is missing, it is caught before the seller sees it.</w:t>
            </w:r>
          </w:p>
        </w:tc>
      </w:tr>
      <w:tr>
        <w:tc>
          <w:tcPr>
            <w:tcW w:type="dxa" w:w="4535"/>
            <w:shd w:val="clear" w:color="auto" w:fill="F0F7F8"/>
          </w:tcPr>
          <w:p>
            <w:r>
              <w:rPr>
                <w:b/>
                <w:sz w:val="22"/>
              </w:rPr>
              <w:t>Human-on-the-loop (not in-the-loop)</w:t>
            </w:r>
          </w:p>
        </w:tc>
        <w:tc>
          <w:tcPr>
            <w:tcW w:type="dxa" w:w="5102"/>
            <w:shd w:val="clear" w:color="auto" w:fill="F0F7F8"/>
          </w:tcPr>
          <w:p>
            <w:r>
              <w:rPr>
                <w:sz w:val="22"/>
              </w:rPr>
              <w:t>Humans are a safety net, not a bottleneck. High-confidence cases auto-complete; only genuine edge cases escalate.</w:t>
            </w:r>
          </w:p>
        </w:tc>
      </w:tr>
      <w:tr>
        <w:tc>
          <w:tcPr>
            <w:tcW w:type="dxa" w:w="4535"/>
          </w:tcPr>
          <w:p>
            <w:r>
              <w:rPr>
                <w:b/>
                <w:sz w:val="22"/>
              </w:rPr>
              <w:t>Jurisdiction-aware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Malaysia and Singapore have different HS codes, tax rates, and certification regimes. TradeReady handles both natively, not as a one-size-fits-all answer.</w:t>
            </w:r>
          </w:p>
        </w:tc>
      </w:tr>
      <w:tr>
        <w:tc>
          <w:tcPr>
            <w:tcW w:type="dxa" w:w="4535"/>
            <w:shd w:val="clear" w:color="auto" w:fill="F0F7F8"/>
          </w:tcPr>
          <w:p>
            <w:r>
              <w:rPr>
                <w:b/>
                <w:sz w:val="22"/>
              </w:rPr>
              <w:t>Photo → compliance in one flow</w:t>
            </w:r>
          </w:p>
        </w:tc>
        <w:tc>
          <w:tcPr>
            <w:tcW w:type="dxa" w:w="5102"/>
            <w:shd w:val="clear" w:color="auto" w:fill="F0F7F8"/>
          </w:tcPr>
          <w:p>
            <w:r>
              <w:rPr>
                <w:sz w:val="22"/>
              </w:rPr>
              <w:t>No manual product lookup. The seller uploads a photo; the AI identifies the product and runs the full compliance pipeline end to end.</w:t>
            </w:r>
          </w:p>
        </w:tc>
      </w:tr>
    </w:tbl>
    <w:p/>
    <w:p>
      <w:pPr>
        <w:spacing w:before="360" w:after="120"/>
        <w:jc w:val="left"/>
      </w:pPr>
      <w:r>
        <w:rPr>
          <w:b/>
          <w:color w:val="1A376C"/>
          <w:sz w:val="40"/>
        </w:rPr>
        <w:t>8. Technology Stack</w:t>
      </w:r>
    </w:p>
    <w:p>
      <w:pPr>
        <w:pStyle w:val="ListBullet"/>
        <w:spacing w:after="60"/>
      </w:pPr>
      <w:r>
        <w:rPr>
          <w:b/>
          <w:sz w:val="22"/>
        </w:rPr>
        <w:t xml:space="preserve">Backend: </w:t>
      </w:r>
      <w:r>
        <w:rPr>
          <w:sz w:val="22"/>
        </w:rPr>
        <w:t>FastAPI (Python) — lightweight, async-ready REST API</w:t>
      </w:r>
    </w:p>
    <w:p>
      <w:pPr>
        <w:pStyle w:val="ListBullet"/>
        <w:spacing w:after="60"/>
      </w:pPr>
      <w:r>
        <w:rPr>
          <w:b/>
          <w:sz w:val="22"/>
        </w:rPr>
        <w:t xml:space="preserve">AI Model: </w:t>
      </w:r>
      <w:r>
        <w:rPr>
          <w:sz w:val="22"/>
        </w:rPr>
        <w:t>OpenAI GPT-4.1-mini Vision — product identification from photos</w:t>
      </w:r>
    </w:p>
    <w:p>
      <w:pPr>
        <w:pStyle w:val="ListBullet"/>
        <w:spacing w:after="60"/>
      </w:pPr>
      <w:r>
        <w:rPr>
          <w:b/>
          <w:sz w:val="22"/>
        </w:rPr>
        <w:t xml:space="preserve">Agent Framework: </w:t>
      </w:r>
      <w:r>
        <w:rPr>
          <w:sz w:val="22"/>
        </w:rPr>
        <w:t>Custom multi-agent orchestrator with five specialist agents</w:t>
      </w:r>
    </w:p>
    <w:p>
      <w:pPr>
        <w:pStyle w:val="ListBullet"/>
        <w:spacing w:after="60"/>
      </w:pPr>
      <w:r>
        <w:rPr>
          <w:b/>
          <w:sz w:val="22"/>
        </w:rPr>
        <w:t xml:space="preserve">Evidence Store: </w:t>
      </w:r>
      <w:r>
        <w:rPr>
          <w:sz w:val="22"/>
        </w:rPr>
        <w:t>Curated RAG dataset of Malaysia &amp; Singapore electronics customs rules</w:t>
      </w:r>
    </w:p>
    <w:p>
      <w:pPr>
        <w:pStyle w:val="ListBullet"/>
        <w:spacing w:after="60"/>
      </w:pPr>
      <w:r>
        <w:rPr>
          <w:b/>
          <w:sz w:val="22"/>
        </w:rPr>
        <w:t xml:space="preserve">Frontend: </w:t>
      </w:r>
      <w:r>
        <w:rPr>
          <w:sz w:val="22"/>
        </w:rPr>
        <w:t>Responsive HTML/JS UI with voice input support</w:t>
      </w:r>
    </w:p>
    <w:p>
      <w:pPr>
        <w:pStyle w:val="ListBullet"/>
        <w:spacing w:after="60"/>
      </w:pPr>
      <w:r>
        <w:rPr>
          <w:b/>
          <w:sz w:val="22"/>
        </w:rPr>
        <w:t xml:space="preserve">Deployment: </w:t>
      </w:r>
      <w:r>
        <w:rPr>
          <w:sz w:val="22"/>
        </w:rPr>
        <w:t>Single PowerShell launcher starts both backend (port 8000) and frontend (port 4174)</w:t>
      </w:r>
    </w:p>
    <w:p/>
    <w:p>
      <w:pPr>
        <w:spacing w:before="360" w:after="120"/>
        <w:jc w:val="left"/>
      </w:pPr>
      <w:r>
        <w:rPr>
          <w:b/>
          <w:color w:val="1A376C"/>
          <w:sz w:val="40"/>
        </w:rPr>
        <w:t>9. Current Scope &amp; Roadmap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MVP covers four high-volume electronics categories:</w:t>
      </w:r>
    </w:p>
    <w:p>
      <w:pPr>
        <w:pStyle w:val="ListBullet"/>
        <w:spacing w:after="60"/>
      </w:pPr>
      <w:r>
        <w:rPr>
          <w:sz w:val="22"/>
        </w:rPr>
        <w:t>Wireless earbuds</w:t>
      </w:r>
    </w:p>
    <w:p>
      <w:pPr>
        <w:pStyle w:val="ListBullet"/>
        <w:spacing w:after="60"/>
      </w:pPr>
      <w:r>
        <w:rPr>
          <w:sz w:val="22"/>
        </w:rPr>
        <w:t>Bluetooth speakers</w:t>
      </w:r>
    </w:p>
    <w:p>
      <w:pPr>
        <w:pStyle w:val="ListBullet"/>
        <w:spacing w:after="60"/>
      </w:pPr>
      <w:r>
        <w:rPr>
          <w:sz w:val="22"/>
        </w:rPr>
        <w:t>Smartwatches</w:t>
      </w:r>
    </w:p>
    <w:p>
      <w:pPr>
        <w:pStyle w:val="ListBullet"/>
        <w:spacing w:after="60"/>
      </w:pPr>
      <w:r>
        <w:rPr>
          <w:sz w:val="22"/>
        </w:rPr>
        <w:t>Phone chargers</w:t>
      </w:r>
    </w:p>
    <w:p/>
    <w:p>
      <w:pPr>
        <w:spacing w:after="80"/>
      </w:pPr>
      <w:r>
        <w:rPr>
          <w:b/>
          <w:i w:val="0"/>
          <w:color w:val="222222"/>
          <w:sz w:val="22"/>
        </w:rPr>
        <w:t>Planned extensions:</w:t>
      </w:r>
    </w:p>
    <w:p>
      <w:pPr>
        <w:pStyle w:val="ListBullet"/>
        <w:spacing w:after="60"/>
      </w:pPr>
      <w:r>
        <w:rPr>
          <w:sz w:val="22"/>
        </w:rPr>
        <w:t>Expand evidence store to all electronics HS chapters (84, 85, 90)</w:t>
      </w:r>
    </w:p>
    <w:p>
      <w:pPr>
        <w:pStyle w:val="ListBullet"/>
        <w:spacing w:after="60"/>
      </w:pPr>
      <w:r>
        <w:rPr>
          <w:sz w:val="22"/>
        </w:rPr>
        <w:t>Add Thailand, Indonesia, and Vietnam as destination jurisdictions</w:t>
      </w:r>
    </w:p>
    <w:p>
      <w:pPr>
        <w:pStyle w:val="ListBullet"/>
        <w:spacing w:after="60"/>
      </w:pPr>
      <w:r>
        <w:rPr>
          <w:sz w:val="22"/>
        </w:rPr>
        <w:t>Live sync with official customs tariff portals via API</w:t>
      </w:r>
    </w:p>
    <w:p>
      <w:pPr>
        <w:pStyle w:val="ListBullet"/>
        <w:spacing w:after="60"/>
      </w:pPr>
      <w:r>
        <w:rPr>
          <w:sz w:val="22"/>
        </w:rPr>
        <w:t>Seller dashboard with run history, comparison reports, and export to PDF</w:t>
      </w:r>
    </w:p>
    <w:p>
      <w:pPr>
        <w:pStyle w:val="ListBullet"/>
        <w:spacing w:after="60"/>
      </w:pPr>
      <w:r>
        <w:rPr>
          <w:sz w:val="22"/>
        </w:rPr>
        <w:t>Platform integrations (Shopee, Lazada, EasyParcel) for one-click form submission</w:t>
      </w:r>
    </w:p>
    <w:p/>
    <w:p>
      <w:pPr>
        <w:spacing w:before="360" w:after="120"/>
        <w:jc w:val="left"/>
      </w:pPr>
      <w:r>
        <w:rPr>
          <w:b/>
          <w:color w:val="1A376C"/>
          <w:sz w:val="40"/>
        </w:rPr>
        <w:t>10. Known Limitations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TradeReady is a proof-of-concept built for this hackathon. We want to be transparent about what it is and is not yet:</w:t>
      </w:r>
    </w:p>
    <w:p>
      <w:pPr>
        <w:pStyle w:val="ListBullet"/>
        <w:spacing w:after="60"/>
      </w:pPr>
      <w:r>
        <w:rPr>
          <w:sz w:val="22"/>
        </w:rPr>
        <w:t>Evidence store is a demo dataset — rates and codes must be verified against live official portals before real submission.</w:t>
      </w:r>
    </w:p>
    <w:p>
      <w:pPr>
        <w:pStyle w:val="ListBullet"/>
        <w:spacing w:after="60"/>
      </w:pPr>
      <w:r>
        <w:rPr>
          <w:sz w:val="22"/>
        </w:rPr>
        <w:t>MVP product scope is limited to four categories; the architecture supports any product.</w:t>
      </w:r>
    </w:p>
    <w:p>
      <w:pPr>
        <w:pStyle w:val="ListBullet"/>
        <w:spacing w:after="60"/>
      </w:pPr>
      <w:r>
        <w:rPr>
          <w:sz w:val="22"/>
        </w:rPr>
        <w:t>Photos confirm product type only — quantity, value, and origin must still be supplied by the seller.</w:t>
      </w:r>
    </w:p>
    <w:p>
      <w:pPr>
        <w:pStyle w:val="ListBullet"/>
        <w:spacing w:after="60"/>
      </w:pPr>
      <w:r>
        <w:rPr>
          <w:sz w:val="22"/>
        </w:rPr>
        <w:t>No live integration with customs authority systems (MySST, TradeNet) in this version.</w:t>
      </w:r>
    </w:p>
    <w:p/>
    <w:p>
      <w:pPr>
        <w:pBdr>
          <w:bottom w:val="single" w:sz="6" w:space="1" w:color="008788"/>
        </w:pBdr>
        <w:spacing w:before="40" w:after="40"/>
      </w:pPr>
    </w:p>
    <w:p/>
    <w:p>
      <w:pPr>
        <w:jc w:val="center"/>
      </w:pPr>
      <w:r>
        <w:rPr>
          <w:i/>
          <w:color w:val="00878A"/>
          <w:sz w:val="24"/>
        </w:rPr>
        <w:t>TradeReady — Compliance confidence, from photo to declaration.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