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F6F3F" w:val="clear"/>
            <w:tcMar>
              <w:top w:type="dxa" w:w="400"/>
              <w:left w:type="dxa" w:w="340"/>
              <w:bottom w:type="dxa" w:w="400"/>
              <w:right w:type="dxa" w:w="340"/>
            </w:tcMar>
          </w:tcPr>
          <w:p>
            <w:pPr>
              <w:spacing w:after="190"/>
            </w:pPr>
            <w:r>
              <w:rPr>
                <w:b/>
                <w:bCs/>
                <w:color w:val="C8DECF"/>
                <w:spacing w:val="30"/>
                <w:sz w:val="17"/>
                <w:szCs w:val="17"/>
              </w:rPr>
              <w:t xml:space="preserve">DOCUMENTACIÓN TÉCNICA DE DESARROLLO</w:t>
            </w:r>
          </w:p>
          <w:p>
            <w:pPr>
              <w:spacing w:after="110"/>
            </w:pPr>
            <w:r>
              <w:rPr>
                <w:b/>
                <w:bCs/>
                <w:color w:val="FFFFFF"/>
                <w:sz w:val="44"/>
                <w:szCs w:val="44"/>
              </w:rPr>
              <w:t xml:space="preserve">ESPECIFICACIÓN DEL MOTOR</w:t>
            </w:r>
          </w:p>
          <w:p>
            <w:r>
              <w:rPr>
                <w:color w:val="D8E9DC"/>
                <w:sz w:val="21"/>
                <w:szCs w:val="21"/>
              </w:rPr>
              <w:t xml:space="preserve">A Tu Lado  ·  Termómetro de riesgo en salud mental  ·  v1.0</w:t>
            </w:r>
          </w:p>
        </w:tc>
      </w:tr>
    </w:tbl>
    <w:p>
      <w:pPr>
        <w:spacing w:after="115"/>
      </w:pPr>
      <w:r>
        <w:t xml:space="preserve"/>
      </w:r>
    </w:p>
    <w:p>
      <w:pPr>
        <w:spacing w:after="115"/>
      </w:pPr>
      <w:r>
        <w:t xml:space="preserve"/>
      </w:r>
    </w:p>
    <w:p>
      <w:pPr>
        <w:spacing w:after="100" w:before="0" w:line="274"/>
      </w:pPr>
      <w:r>
        <w:rPr>
          <w:b/>
          <w:bCs/>
          <w:color w:val="23302A"/>
          <w:sz w:val="26"/>
          <w:szCs w:val="26"/>
        </w:rPr>
        <w:t xml:space="preserve">Para el equipo de desarrollo</w:t>
      </w:r>
    </w:p>
    <w:p>
      <w:pPr>
        <w:spacing w:after="300" w:before="0" w:line="274"/>
      </w:pPr>
      <w:r>
        <w:rPr>
          <w:color w:val="6B7280"/>
          <w:sz w:val="21"/>
          <w:szCs w:val="21"/>
        </w:rPr>
        <w:t xml:space="preserve">Este documento define, sin ambigüedad, qué debe programarse: instrumentos, puntuaciones, umbrales, reglas de anulación, estructura de datos y comportamiento esperado en cada ruta. Todo umbral aquí escrito proviene de la documentación oficial del instrumento que lo publica y no debe modificarse sin autorización del asesor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F" w:val="clear"/>
            <w:tcMar>
              <w:top w:type="dxa" w:w="175"/>
              <w:left w:type="dxa" w:w="205"/>
              <w:bottom w:type="dxa" w:w="175"/>
              <w:right w:type="dxa" w:w="205"/>
            </w:tcMar>
          </w:tcPr>
          <w:p>
            <w:pPr>
              <w:spacing w:after="95"/>
            </w:pPr>
            <w:r>
              <w:rPr>
                <w:b/>
                <w:bCs/>
                <w:color w:val="B22222"/>
                <w:sz w:val="21"/>
                <w:szCs w:val="21"/>
              </w:rPr>
              <w:t xml:space="preserve">Tres reglas que no se negocian en el código</w:t>
            </w:r>
          </w:p>
          <w:p>
            <w:pPr>
              <w:spacing w:after="78" w:line="256"/>
            </w:pPr>
            <w:r>
              <w:rPr>
                <w:sz w:val="20"/>
                <w:szCs w:val="20"/>
              </w:rPr>
              <w:t xml:space="preserve">1. El riesgo suicida nunca se promedia. Las banderas anulan el resultado global; no suman a él.</w:t>
            </w:r>
          </w:p>
          <w:p>
            <w:pPr>
              <w:spacing w:after="78" w:line="256"/>
            </w:pPr>
            <w:r>
              <w:rPr>
                <w:sz w:val="20"/>
                <w:szCs w:val="20"/>
              </w:rPr>
              <w:t xml:space="preserve">2. Ningún umbral se ajusta por intuición. Cada constante tiene una fuente citada en este documento; cambiarla exige actualizar la fuente.</w:t>
            </w:r>
          </w:p>
          <w:p>
            <w:pPr>
              <w:spacing w:after="78" w:line="256"/>
            </w:pPr>
            <w:r>
              <w:rPr>
                <w:sz w:val="20"/>
                <w:szCs w:val="20"/>
              </w:rPr>
              <w:t xml:space="preserve">3. El plano gerencial nunca recibe texto libre ni puntajes individuales identificados. La separación se aplica en la capa de datos, no en la interfaz.</w:t>
            </w:r>
          </w:p>
          <w:p>
            <w:pPr>
              <w:spacing w:after="78" w:line="256"/>
            </w:pPr>
            <w:r>
              <w:rPr>
                <w:sz w:val="20"/>
                <w:szCs w:val="20"/>
              </w:rPr>
              <w:t xml:space="preserve">4. Un caso Rojo no se cierra por puntaje: se cierra únicamente con contacto humano verificado.</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1</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Arquitectura del motor</w:t>
            </w:r>
          </w:p>
        </w:tc>
      </w:tr>
    </w:tbl>
    <w:p>
      <w:pPr>
        <w:spacing w:after="115"/>
      </w:pPr>
      <w:r>
        <w:t xml:space="preserve"/>
      </w:r>
    </w:p>
    <w:p>
      <w:pPr>
        <w:spacing w:after="175" w:before="0" w:line="274"/>
      </w:pPr>
      <w:r>
        <w:rPr>
          <w:sz w:val="21"/>
          <w:szCs w:val="21"/>
        </w:rPr>
        <w:t xml:space="preserve">El motor es una cascada de cuatro capas. Cada capa se ejecuta solo si la anterior emite la condición de apertura. El objetivo de diseño es que el trayecto mínimo sea de cinco preguntas y el máximo de veintitrés.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246"/>
        <w:gridCol w:w="936"/>
        <w:gridCol w:w="4867"/>
      </w:tblGrid>
      <w:tr>
        <w:trPr>
          <w:tblHeader/>
        </w:trPr>
        <w:tc>
          <w:tcPr>
            <w:tcW w:type="dxa" w:w="1310"/>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Capa</w:t>
            </w:r>
          </w:p>
        </w:tc>
        <w:tc>
          <w:tcPr>
            <w:tcW w:type="dxa" w:w="2246"/>
            <w:shd w:fill="1F6F3F" w:val="clear"/>
            <w:tcMar>
              <w:top w:type="dxa" w:w="105"/>
              <w:left w:type="dxa" w:w="125"/>
              <w:bottom w:type="dxa" w:w="105"/>
              <w:right w:type="dxa" w:w="125"/>
            </w:tcMar>
            <w:vAlign w:val="center"/>
          </w:tcPr>
          <w:p>
            <w:pPr>
              <w:spacing w:after="50" w:line="248"/>
            </w:pPr>
            <w:r>
              <w:rPr>
                <w:b/>
                <w:bCs/>
                <w:color w:val="FFFFFF"/>
                <w:sz w:val="19"/>
                <w:szCs w:val="19"/>
              </w:rPr>
              <w:t xml:space="preserve">Módulo</w:t>
            </w:r>
          </w:p>
        </w:tc>
        <w:tc>
          <w:tcPr>
            <w:tcW w:type="dxa" w:w="936"/>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Ítems</w:t>
            </w:r>
          </w:p>
        </w:tc>
        <w:tc>
          <w:tcPr>
            <w:tcW w:type="dxa" w:w="4867"/>
            <w:shd w:fill="1F6F3F" w:val="clear"/>
            <w:tcMar>
              <w:top w:type="dxa" w:w="105"/>
              <w:left w:type="dxa" w:w="125"/>
              <w:bottom w:type="dxa" w:w="105"/>
              <w:right w:type="dxa" w:w="125"/>
            </w:tcMar>
            <w:vAlign w:val="center"/>
          </w:tcPr>
          <w:p>
            <w:pPr>
              <w:spacing w:after="50" w:line="248"/>
            </w:pPr>
            <w:r>
              <w:rPr>
                <w:b/>
                <w:bCs/>
                <w:color w:val="FFFFFF"/>
                <w:sz w:val="19"/>
                <w:szCs w:val="19"/>
              </w:rPr>
              <w:t xml:space="preserve">Condición de apertura</w:t>
            </w:r>
          </w:p>
        </w:tc>
      </w:tr>
      <w:tr>
        <w:tc>
          <w:tcPr>
            <w:tcW w:type="dxa" w:w="1310"/>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0</w:t>
            </w:r>
          </w:p>
        </w:tc>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Enrutador diario</w:t>
            </w:r>
          </w:p>
        </w:tc>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Siempre disponible. Registra el estado del día y decide la ruta</w:t>
            </w:r>
          </w:p>
        </w:tc>
      </w:tr>
      <w:tr>
        <w:tc>
          <w:tcPr>
            <w:tcW w:type="dxa" w:w="1310"/>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WHO-5</w:t>
            </w:r>
          </w:p>
        </w:tc>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486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Ruta B, o calendario de 14 días</w:t>
            </w:r>
          </w:p>
        </w:tc>
      </w:tr>
      <w:tr>
        <w:tc>
          <w:tcPr>
            <w:tcW w:type="dxa" w:w="1310"/>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w:t>
            </w:r>
          </w:p>
        </w:tc>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MDI</w:t>
            </w:r>
          </w:p>
        </w:tc>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12</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WHO-5 crudo ≤ 12, o cualquier ítem en 0-1, o entrada por Ruta C</w:t>
            </w:r>
          </w:p>
        </w:tc>
      </w:tr>
      <w:tr>
        <w:tc>
          <w:tcPr>
            <w:tcW w:type="dxa" w:w="1310"/>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w:t>
            </w:r>
          </w:p>
        </w:tc>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ASQ (NIMH)</w:t>
            </w:r>
          </w:p>
        </w:tc>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 o 5</w:t>
            </w:r>
          </w:p>
        </w:tc>
        <w:tc>
          <w:tcPr>
            <w:tcW w:type="dxa" w:w="486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MDI ítem 6 &gt; 0</w:t>
            </w:r>
          </w:p>
        </w:tc>
      </w:tr>
      <w:tr>
        <w:tc>
          <w:tcPr>
            <w:tcW w:type="dxa" w:w="1310"/>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w:t>
            </w:r>
          </w:p>
        </w:tc>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Puchol</w:t>
            </w:r>
          </w:p>
        </w:tc>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60</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Evaluación organizacional periódica, o señal en ítems 3, 8 y 9 del MDI</w:t>
            </w:r>
          </w:p>
        </w:tc>
      </w:tr>
    </w:tbl>
    <w:p>
      <w:pPr>
        <w:spacing w:after="245" w:before="105"/>
      </w:pPr>
      <w:r>
        <w:rPr>
          <w:i/>
          <w:iCs/>
          <w:color w:val="6B7280"/>
          <w:sz w:val="18"/>
          <w:szCs w:val="18"/>
        </w:rPr>
        <w:t xml:space="preserve">Tabla 1. Capas del motor.</w:t>
      </w:r>
    </w:p>
    <w:p>
      <w:pPr>
        <w:spacing w:after="140" w:before="280"/>
      </w:pPr>
      <w:r>
        <w:rPr>
          <w:b/>
          <w:bCs/>
          <w:color w:val="1F6F3F"/>
          <w:spacing w:val="20"/>
          <w:sz w:val="18"/>
          <w:szCs w:val="18"/>
        </w:rPr>
        <w:t xml:space="preserve">ENRUTAMIENTO DESDE EL REGISTRO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310"/>
        <w:gridCol w:w="5616"/>
      </w:tblGrid>
      <w:tr>
        <w:trPr>
          <w:tblHeader/>
        </w:trPr>
        <w:tc>
          <w:tcPr>
            <w:tcW w:type="dxa" w:w="2434"/>
            <w:shd w:fill="1F6F3F" w:val="clear"/>
            <w:tcMar>
              <w:top w:type="dxa" w:w="105"/>
              <w:left w:type="dxa" w:w="125"/>
              <w:bottom w:type="dxa" w:w="105"/>
              <w:right w:type="dxa" w:w="125"/>
            </w:tcMar>
            <w:vAlign w:val="center"/>
          </w:tcPr>
          <w:p>
            <w:pPr>
              <w:spacing w:after="50" w:line="248"/>
            </w:pPr>
            <w:r>
              <w:rPr>
                <w:b/>
                <w:bCs/>
                <w:color w:val="FFFFFF"/>
                <w:sz w:val="19"/>
                <w:szCs w:val="19"/>
              </w:rPr>
              <w:t xml:space="preserve">Selección del usuario</w:t>
            </w:r>
          </w:p>
        </w:tc>
        <w:tc>
          <w:tcPr>
            <w:tcW w:type="dxa" w:w="1310"/>
            <w:shd w:fill="1F6F3F" w:val="clear"/>
            <w:tcMar>
              <w:top w:type="dxa" w:w="105"/>
              <w:left w:type="dxa" w:w="125"/>
              <w:bottom w:type="dxa" w:w="105"/>
              <w:right w:type="dxa" w:w="125"/>
            </w:tcMar>
            <w:vAlign w:val="center"/>
          </w:tcPr>
          <w:p>
            <w:pPr>
              <w:spacing w:after="50" w:line="248"/>
            </w:pPr>
            <w:r>
              <w:rPr>
                <w:b/>
                <w:bCs/>
                <w:color w:val="FFFFFF"/>
                <w:sz w:val="19"/>
                <w:szCs w:val="19"/>
              </w:rPr>
              <w:t xml:space="preserve">Ruta</w:t>
            </w:r>
          </w:p>
        </w:tc>
        <w:tc>
          <w:tcPr>
            <w:tcW w:type="dxa" w:w="5616"/>
            <w:shd w:fill="1F6F3F" w:val="clear"/>
            <w:tcMar>
              <w:top w:type="dxa" w:w="105"/>
              <w:left w:type="dxa" w:w="125"/>
              <w:bottom w:type="dxa" w:w="105"/>
              <w:right w:type="dxa" w:w="125"/>
            </w:tcMar>
            <w:vAlign w:val="center"/>
          </w:tcPr>
          <w:p>
            <w:pPr>
              <w:spacing w:after="50" w:line="248"/>
            </w:pPr>
            <w:r>
              <w:rPr>
                <w:b/>
                <w:bCs/>
                <w:color w:val="FFFFFF"/>
                <w:sz w:val="19"/>
                <w:szCs w:val="19"/>
              </w:rPr>
              <w:t xml:space="preserve">Comportamiento</w:t>
            </w:r>
          </w:p>
        </w:tc>
      </w:tr>
      <w:tr>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Excelente · Bien</w:t>
            </w:r>
          </w:p>
        </w:tc>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A</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No se abre instrumento. Se muestra pregunta abierta opcional y contenido de consejos. Se registra el valor para la curva</w:t>
            </w:r>
          </w:p>
        </w:tc>
      </w:tr>
      <w:tr>
        <w:tc>
          <w:tcPr>
            <w:tcW w:type="dxa" w:w="243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Regular</w:t>
            </w:r>
          </w:p>
        </w:tc>
        <w:tc>
          <w:tcPr>
            <w:tcW w:type="dxa" w:w="131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B</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Se abre WHO-5, salvo que exista una aplicación con menos de 14 días de antigüedad: en ese caso se reutiliza el último resultado</w:t>
            </w:r>
          </w:p>
        </w:tc>
      </w:tr>
      <w:tr>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Mal · Terrible</w:t>
            </w:r>
          </w:p>
        </w:tc>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C</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Se abre MDI directamente. El WHO-5 se omite porque su única función es decidir si aplicar el MDI, y el usuario ya respondió esa pregunta</w:t>
            </w:r>
          </w:p>
        </w:tc>
      </w:tr>
    </w:tbl>
    <w:p>
      <w:pPr>
        <w:spacing w:after="245" w:before="105"/>
      </w:pPr>
      <w:r>
        <w:rPr>
          <w:i/>
          <w:iCs/>
          <w:color w:val="6B7280"/>
          <w:sz w:val="18"/>
          <w:szCs w:val="18"/>
        </w:rPr>
        <w:t xml:space="preserve">Tabla 2. Reglas de enrutamiento de la capa 0.</w:t>
      </w:r>
    </w:p>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7" w:val="clear"/>
            <w:tcMar>
              <w:top w:type="dxa" w:w="175"/>
              <w:left w:type="dxa" w:w="205"/>
              <w:bottom w:type="dxa" w:w="175"/>
              <w:right w:type="dxa" w:w="205"/>
            </w:tcMar>
          </w:tcPr>
          <w:p>
            <w:pPr>
              <w:spacing w:after="95"/>
            </w:pPr>
            <w:r>
              <w:rPr>
                <w:b/>
                <w:bCs/>
                <w:color w:val="1F4E6F"/>
                <w:sz w:val="21"/>
                <w:szCs w:val="21"/>
              </w:rPr>
              <w:t xml:space="preserve">Codificación del registro diario</w:t>
            </w:r>
          </w:p>
          <w:p>
            <w:pPr>
              <w:spacing w:after="78" w:line="256"/>
            </w:pPr>
            <w:r>
              <w:rPr>
                <w:sz w:val="20"/>
                <w:szCs w:val="20"/>
              </w:rPr>
              <w:t xml:space="preserve">La escala de las caritas se almacena invertida para que un valor mayor signifique mayor malestar, igual que en el MDI: Excelente = 0, Bien = 1, Regular = 2, Mal = 3, Terrible = 4.</w:t>
            </w:r>
          </w:p>
          <w:p>
            <w:pPr>
              <w:spacing w:after="78" w:line="256"/>
            </w:pPr>
            <w:r>
              <w:rPr>
                <w:sz w:val="20"/>
                <w:szCs w:val="20"/>
              </w:rPr>
              <w:t xml:space="preserve">Esta codificación es la que alimenta la curva longitudinal del usuario. No confundirla con la escala del WHO-5, donde un valor mayor significa mayor bienestar.</w:t>
            </w:r>
          </w:p>
        </w:tc>
      </w:tr>
    </w:tbl>
    <w:p>
      <w:pPr>
        <w:spacing w:after="140" w:before="280"/>
      </w:pPr>
      <w:r>
        <w:rPr>
          <w:b/>
          <w:bCs/>
          <w:color w:val="1F6F3F"/>
          <w:spacing w:val="20"/>
          <w:sz w:val="18"/>
          <w:szCs w:val="18"/>
        </w:rPr>
        <w:t xml:space="preserve">LAS CUATRO REGLAS DE VIGILANCIA DIARIA</w:t>
      </w:r>
    </w:p>
    <w:p>
      <w:pPr>
        <w:spacing w:after="175" w:before="0" w:line="274"/>
      </w:pPr>
      <w:r>
        <w:rPr>
          <w:sz w:val="21"/>
          <w:szCs w:val="21"/>
        </w:rPr>
        <w:t xml:space="preserve">Se ejecutan cada vez que el usuario registra, y también en un proceso programado diario que detecta la ausencia de registro. Cualquiera que se active adelanta la aplicación del WHO-5 sin esperar al día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const UMBRAL_DESVIACION = 1.0;   // puntos sobre la escala 0-4</w:t>
            </w:r>
          </w:p>
          <w:p>
            <w:pPr>
              <w:spacing w:after="30" w:line="240"/>
            </w:pPr>
            <w:r>
              <w:rPr>
                <w:rFonts w:ascii="Consolas" w:cs="Consolas" w:eastAsia="Consolas" w:hAnsi="Consolas"/>
                <w:color w:val="1F3D2B"/>
                <w:sz w:val="17"/>
                <w:szCs w:val="17"/>
              </w:rPr>
              <w:t xml:space="preserve">const DIAS_PERSISTENCIA  = 3;</w:t>
            </w:r>
          </w:p>
          <w:p>
            <w:pPr>
              <w:spacing w:after="30" w:line="240"/>
            </w:pPr>
            <w:r>
              <w:rPr>
                <w:rFonts w:ascii="Consolas" w:cs="Consolas" w:eastAsia="Consolas" w:hAnsi="Consolas"/>
                <w:color w:val="1F3D2B"/>
                <w:sz w:val="17"/>
                <w:szCs w:val="17"/>
              </w:rPr>
              <w:t xml:space="preserve">const SALTO_ABRUPTO      = 2;</w:t>
            </w:r>
          </w:p>
          <w:p>
            <w:pPr>
              <w:spacing w:after="30" w:line="240"/>
            </w:pPr>
            <w:r>
              <w:rPr>
                <w:rFonts w:ascii="Consolas" w:cs="Consolas" w:eastAsia="Consolas" w:hAnsi="Consolas"/>
                <w:color w:val="1F3D2B"/>
                <w:sz w:val="17"/>
                <w:szCs w:val="17"/>
              </w:rPr>
              <w:t xml:space="preserve">const DIAS_SILENCIO      = 5;</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function señalVigilancia(serie) {</w:t>
            </w:r>
          </w:p>
          <w:p>
            <w:pPr>
              <w:spacing w:after="30" w:line="240"/>
            </w:pPr>
            <w:r>
              <w:rPr>
                <w:rFonts w:ascii="Consolas" w:cs="Consolas" w:eastAsia="Consolas" w:hAnsi="Consolas"/>
                <w:color w:val="1F3D2B"/>
                <w:sz w:val="17"/>
                <w:szCs w:val="17"/>
              </w:rPr>
              <w:t xml:space="preserve">  const base30  = media(ultimos(serie, 30));</w:t>
            </w:r>
          </w:p>
          <w:p>
            <w:pPr>
              <w:spacing w:after="30" w:line="240"/>
            </w:pPr>
            <w:r>
              <w:rPr>
                <w:rFonts w:ascii="Consolas" w:cs="Consolas" w:eastAsia="Consolas" w:hAnsi="Consolas"/>
                <w:color w:val="1F3D2B"/>
                <w:sz w:val="17"/>
                <w:szCs w:val="17"/>
              </w:rPr>
              <w:t xml:space="preserve">  const movil7  = media(ultimos(serie, 7));</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R1 · desviación de línea base</w:t>
            </w:r>
          </w:p>
          <w:p>
            <w:pPr>
              <w:spacing w:after="30" w:line="240"/>
            </w:pPr>
            <w:r>
              <w:rPr>
                <w:rFonts w:ascii="Consolas" w:cs="Consolas" w:eastAsia="Consolas" w:hAnsi="Consolas"/>
                <w:color w:val="1F3D2B"/>
                <w:sz w:val="17"/>
                <w:szCs w:val="17"/>
              </w:rPr>
              <w:t xml:space="preserve">  if (serie.length &gt;= 14 &amp;&amp; (movil7 - base30) &gt;= UMBRAL_DESVIACION)</w:t>
            </w:r>
          </w:p>
          <w:p>
            <w:pPr>
              <w:spacing w:after="30" w:line="240"/>
            </w:pPr>
            <w:r>
              <w:rPr>
                <w:rFonts w:ascii="Consolas" w:cs="Consolas" w:eastAsia="Consolas" w:hAnsi="Consolas"/>
                <w:color w:val="1F3D2B"/>
                <w:sz w:val="17"/>
                <w:szCs w:val="17"/>
              </w:rPr>
              <w:t xml:space="preserve">      return 'R1_DESVIACION';</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R2 · persistencia</w:t>
            </w:r>
          </w:p>
          <w:p>
            <w:pPr>
              <w:spacing w:after="30" w:line="240"/>
            </w:pPr>
            <w:r>
              <w:rPr>
                <w:rFonts w:ascii="Consolas" w:cs="Consolas" w:eastAsia="Consolas" w:hAnsi="Consolas"/>
                <w:color w:val="1F3D2B"/>
                <w:sz w:val="17"/>
                <w:szCs w:val="17"/>
              </w:rPr>
              <w:t xml:space="preserve">  if (consecutivos(serie, v =&gt; v &gt;= 3) &gt;= DIAS_PERSISTENCIA)</w:t>
            </w:r>
          </w:p>
          <w:p>
            <w:pPr>
              <w:spacing w:after="30" w:line="240"/>
            </w:pPr>
            <w:r>
              <w:rPr>
                <w:rFonts w:ascii="Consolas" w:cs="Consolas" w:eastAsia="Consolas" w:hAnsi="Consolas"/>
                <w:color w:val="1F3D2B"/>
                <w:sz w:val="17"/>
                <w:szCs w:val="17"/>
              </w:rPr>
              <w:t xml:space="preserve">      return 'R2_PERSISTENCIA';</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R3 · caida abrupta sostenida 2 dias</w:t>
            </w:r>
          </w:p>
          <w:p>
            <w:pPr>
              <w:spacing w:after="30" w:line="240"/>
            </w:pPr>
            <w:r>
              <w:rPr>
                <w:rFonts w:ascii="Consolas" w:cs="Consolas" w:eastAsia="Consolas" w:hAnsi="Consolas"/>
                <w:color w:val="1F3D2B"/>
                <w:sz w:val="17"/>
                <w:szCs w:val="17"/>
              </w:rPr>
              <w:t xml:space="preserve">  if (saltoSostenido(serie, SALTO_ABRUPTO, 2))</w:t>
            </w:r>
          </w:p>
          <w:p>
            <w:pPr>
              <w:spacing w:after="30" w:line="240"/>
            </w:pPr>
            <w:r>
              <w:rPr>
                <w:rFonts w:ascii="Consolas" w:cs="Consolas" w:eastAsia="Consolas" w:hAnsi="Consolas"/>
                <w:color w:val="1F3D2B"/>
                <w:sz w:val="17"/>
                <w:szCs w:val="17"/>
              </w:rPr>
              <w:t xml:space="preserve">      return 'R3_CAIDA';</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R4 · silencio tras patron regular</w:t>
            </w:r>
          </w:p>
          <w:p>
            <w:pPr>
              <w:spacing w:after="30" w:line="240"/>
            </w:pPr>
            <w:r>
              <w:rPr>
                <w:rFonts w:ascii="Consolas" w:cs="Consolas" w:eastAsia="Consolas" w:hAnsi="Consolas"/>
                <w:color w:val="1F3D2B"/>
                <w:sz w:val="17"/>
                <w:szCs w:val="17"/>
              </w:rPr>
              <w:t xml:space="preserve">  if (teniaPatronRegular(serie) &amp;&amp; diasSinRegistro(serie) &gt;= DIAS_SILENCIO)</w:t>
            </w:r>
          </w:p>
          <w:p>
            <w:pPr>
              <w:spacing w:after="30" w:line="240"/>
            </w:pPr>
            <w:r>
              <w:rPr>
                <w:rFonts w:ascii="Consolas" w:cs="Consolas" w:eastAsia="Consolas" w:hAnsi="Consolas"/>
                <w:color w:val="1F3D2B"/>
                <w:sz w:val="17"/>
                <w:szCs w:val="17"/>
              </w:rPr>
              <w:t xml:space="preserve">      return 'R4_SILENCIO';</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return null;</w:t>
            </w:r>
          </w:p>
          <w:p>
            <w:pPr>
              <w:spacing w:after="30" w:line="240"/>
            </w:pPr>
            <w:r>
              <w:rPr>
                <w:rFonts w:ascii="Consolas" w:cs="Consolas" w:eastAsia="Consolas" w:hAnsi="Consolas"/>
                <w:color w:val="1F3D2B"/>
                <w:sz w:val="17"/>
                <w:szCs w:val="17"/>
              </w:rPr>
              <w:t xml:space="preserve">}</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R1 exige al menos 14 dias de historia para que base30 sea estable.</w:t>
            </w:r>
          </w:p>
          <w:p>
            <w:pPr>
              <w:spacing w:after="30" w:line="240"/>
            </w:pPr>
            <w:r>
              <w:rPr>
                <w:rFonts w:ascii="Consolas" w:cs="Consolas" w:eastAsia="Consolas" w:hAnsi="Consolas"/>
                <w:color w:val="1F3D2B"/>
                <w:sz w:val="17"/>
                <w:szCs w:val="17"/>
              </w:rPr>
              <w:t xml:space="preserve">// Antes de ese punto solo operan R2, R3 y R4.</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8EC" w:val="clear"/>
            <w:tcMar>
              <w:top w:type="dxa" w:w="175"/>
              <w:left w:type="dxa" w:w="205"/>
              <w:bottom w:type="dxa" w:w="175"/>
              <w:right w:type="dxa" w:w="205"/>
            </w:tcMar>
          </w:tcPr>
          <w:p>
            <w:pPr>
              <w:spacing w:after="95"/>
            </w:pPr>
            <w:r>
              <w:rPr>
                <w:b/>
                <w:bCs/>
                <w:color w:val="9A6B00"/>
                <w:sz w:val="21"/>
                <w:szCs w:val="21"/>
              </w:rPr>
              <w:t xml:space="preserve">Límite de alcance de estas reglas</w:t>
            </w:r>
          </w:p>
          <w:p>
            <w:pPr>
              <w:spacing w:after="78" w:line="256"/>
            </w:pPr>
            <w:r>
              <w:rPr>
                <w:sz w:val="20"/>
                <w:szCs w:val="20"/>
              </w:rPr>
              <w:t xml:space="preserve">Los umbrales del WHO-5, del MDI y de Puchol provienen de sus instrumentos. Estos cuatro NO: son del equipo.</w:t>
            </w:r>
          </w:p>
          <w:p>
            <w:pPr>
              <w:spacing w:after="78" w:line="256"/>
            </w:pPr>
            <w:r>
              <w:rPr>
                <w:sz w:val="20"/>
                <w:szCs w:val="20"/>
              </w:rPr>
              <w:t xml:space="preserve">Por eso su efecto está acotado por diseño: disparan la aplicación de un instrumento y nunca asignan un nivel. En el código esto significa que señalVigilancia() jamás escribe en la tabla de clasificaciones — solo invoca abrirWHO5().</w:t>
            </w:r>
          </w:p>
          <w:p>
            <w:pPr>
              <w:spacing w:after="78" w:line="256"/>
            </w:pPr>
            <w:r>
              <w:rPr>
                <w:sz w:val="20"/>
                <w:szCs w:val="20"/>
              </w:rPr>
              <w:t xml:space="preserve">Se guardan como constantes de configuración, no incrustadas, porque se recalibrarán con los datos del piloto.</w:t>
            </w:r>
          </w:p>
          <w:p>
            <w:pPr>
              <w:spacing w:after="78" w:line="256"/>
            </w:pPr>
            <w:r>
              <w:rPr>
                <w:sz w:val="20"/>
                <w:szCs w:val="20"/>
              </w:rPr>
              <w:t xml:space="preserve">R4 tiene una regla de producto asociada: el mensaje al usuario debe acercarse, nunca reclamar. Nada de «llevas 5 días sin registrar».</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2</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Capa 1 — WHO-5</w:t>
            </w:r>
          </w:p>
        </w:tc>
      </w:tr>
    </w:tbl>
    <w:p>
      <w:pPr>
        <w:spacing w:after="115"/>
      </w:pPr>
      <w:r>
        <w:t xml:space="preserve"/>
      </w:r>
    </w:p>
    <w:p>
      <w:pPr>
        <w:spacing w:after="175" w:before="0" w:line="274"/>
      </w:pPr>
      <w:r>
        <w:rPr>
          <w:sz w:val="21"/>
          <w:szCs w:val="21"/>
        </w:rPr>
        <w:t xml:space="preserve">Índice de Bienestar de cinco ítems de la Organización Mundial de la Salud, versión 1998 en español. Propiedad de la OMS desde 2024, publicado como recurso de acceso abierto.</w:t>
      </w:r>
    </w:p>
    <w:p>
      <w:pPr>
        <w:spacing w:after="140" w:before="280"/>
      </w:pPr>
      <w:r>
        <w:rPr>
          <w:b/>
          <w:bCs/>
          <w:color w:val="1F6F3F"/>
          <w:spacing w:val="20"/>
          <w:sz w:val="18"/>
          <w:szCs w:val="18"/>
        </w:rPr>
        <w:t xml:space="preserve">ÍTEMS Y ESCALA</w:t>
      </w:r>
    </w:p>
    <w:p>
      <w:pPr>
        <w:spacing w:after="175" w:before="0" w:line="274"/>
      </w:pPr>
      <w:r>
        <w:rPr>
          <w:sz w:val="20"/>
          <w:szCs w:val="20"/>
        </w:rPr>
        <w:t xml:space="preserve">Encabezado obligatorio en pantalla: «Durante las últimas dos semanas…». Los cinco ítems se responden en una escala de seis opciones donde un valor mayor indica mayor bienestar.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867"/>
        <w:gridCol w:w="3744"/>
      </w:tblGrid>
      <w:tr>
        <w:trPr>
          <w:tblHeader/>
        </w:trPr>
        <w:tc>
          <w:tcPr>
            <w:tcW w:type="dxa" w:w="749"/>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w:t>
            </w:r>
          </w:p>
        </w:tc>
        <w:tc>
          <w:tcPr>
            <w:tcW w:type="dxa" w:w="4867"/>
            <w:shd w:fill="1F6F3F" w:val="clear"/>
            <w:tcMar>
              <w:top w:type="dxa" w:w="105"/>
              <w:left w:type="dxa" w:w="125"/>
              <w:bottom w:type="dxa" w:w="105"/>
              <w:right w:type="dxa" w:w="125"/>
            </w:tcMar>
            <w:vAlign w:val="center"/>
          </w:tcPr>
          <w:p>
            <w:pPr>
              <w:spacing w:after="50" w:line="248"/>
            </w:pPr>
            <w:r>
              <w:rPr>
                <w:b/>
                <w:bCs/>
                <w:color w:val="FFFFFF"/>
                <w:sz w:val="19"/>
                <w:szCs w:val="19"/>
              </w:rPr>
              <w:t xml:space="preserve">Ítem</w:t>
            </w:r>
          </w:p>
        </w:tc>
        <w:tc>
          <w:tcPr>
            <w:tcW w:type="dxa" w:w="3744"/>
            <w:shd w:fill="1F6F3F" w:val="clear"/>
            <w:tcMar>
              <w:top w:type="dxa" w:w="105"/>
              <w:left w:type="dxa" w:w="125"/>
              <w:bottom w:type="dxa" w:w="105"/>
              <w:right w:type="dxa" w:w="125"/>
            </w:tcMar>
            <w:vAlign w:val="center"/>
          </w:tcPr>
          <w:p>
            <w:pPr>
              <w:spacing w:after="50" w:line="248"/>
            </w:pPr>
            <w:r>
              <w:rPr>
                <w:b/>
                <w:bCs/>
                <w:color w:val="FFFFFF"/>
                <w:sz w:val="19"/>
                <w:szCs w:val="19"/>
              </w:rPr>
              <w:t xml:space="preserve">Escala</w:t>
            </w:r>
          </w:p>
        </w:tc>
      </w:tr>
      <w:tr>
        <w:tc>
          <w:tcPr>
            <w:tcW w:type="dxa" w:w="749"/>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Me he sentido alegre y de buen humor</w:t>
            </w:r>
          </w:p>
        </w:tc>
        <w:tc>
          <w:tcPr>
            <w:tcW w:type="dxa" w:w="3744"/>
            <w:tcMar>
              <w:top w:type="dxa" w:w="105"/>
              <w:left w:type="dxa" w:w="125"/>
              <w:bottom w:type="dxa" w:w="105"/>
              <w:right w:type="dxa" w:w="125"/>
            </w:tcMar>
            <w:vAlign w:val="center"/>
          </w:tcPr>
          <w:p>
            <w:pPr>
              <w:spacing w:after="50" w:line="248"/>
            </w:pPr>
            <w:r>
              <w:rPr>
                <w:b w:val="false"/>
                <w:bCs w:val="false"/>
                <w:color w:val="23302A"/>
                <w:sz w:val="19"/>
                <w:szCs w:val="19"/>
              </w:rPr>
              <w:t xml:space="preserve">Todo el tiempo = 5</w:t>
            </w:r>
          </w:p>
        </w:tc>
      </w:tr>
      <w:tr>
        <w:tc>
          <w:tcPr>
            <w:tcW w:type="dxa" w:w="749"/>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w:t>
            </w:r>
          </w:p>
        </w:tc>
        <w:tc>
          <w:tcPr>
            <w:tcW w:type="dxa" w:w="486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Me he sentido tranquilo y relajado</w:t>
            </w:r>
          </w:p>
        </w:tc>
        <w:tc>
          <w:tcPr>
            <w:tcW w:type="dxa" w:w="374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La mayor parte del tiempo = 4</w:t>
            </w:r>
          </w:p>
        </w:tc>
      </w:tr>
      <w:tr>
        <w:tc>
          <w:tcPr>
            <w:tcW w:type="dxa" w:w="749"/>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Me he sentido activo y enérgico</w:t>
            </w:r>
          </w:p>
        </w:tc>
        <w:tc>
          <w:tcPr>
            <w:tcW w:type="dxa" w:w="3744"/>
            <w:tcMar>
              <w:top w:type="dxa" w:w="105"/>
              <w:left w:type="dxa" w:w="125"/>
              <w:bottom w:type="dxa" w:w="105"/>
              <w:right w:type="dxa" w:w="125"/>
            </w:tcMar>
            <w:vAlign w:val="center"/>
          </w:tcPr>
          <w:p>
            <w:pPr>
              <w:spacing w:after="50" w:line="248"/>
            </w:pPr>
            <w:r>
              <w:rPr>
                <w:b w:val="false"/>
                <w:bCs w:val="false"/>
                <w:color w:val="23302A"/>
                <w:sz w:val="19"/>
                <w:szCs w:val="19"/>
              </w:rPr>
              <w:t xml:space="preserve">Más de la mitad del tiempo = 3</w:t>
            </w:r>
          </w:p>
        </w:tc>
      </w:tr>
      <w:tr>
        <w:tc>
          <w:tcPr>
            <w:tcW w:type="dxa" w:w="749"/>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w:t>
            </w:r>
          </w:p>
        </w:tc>
        <w:tc>
          <w:tcPr>
            <w:tcW w:type="dxa" w:w="486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Me he despertado fresco y descansado</w:t>
            </w:r>
          </w:p>
        </w:tc>
        <w:tc>
          <w:tcPr>
            <w:tcW w:type="dxa" w:w="374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Menos de la mitad del tiempo = 2</w:t>
            </w:r>
          </w:p>
        </w:tc>
      </w:tr>
      <w:tr>
        <w:tc>
          <w:tcPr>
            <w:tcW w:type="dxa" w:w="749"/>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4867"/>
            <w:tcMar>
              <w:top w:type="dxa" w:w="105"/>
              <w:left w:type="dxa" w:w="125"/>
              <w:bottom w:type="dxa" w:w="105"/>
              <w:right w:type="dxa" w:w="125"/>
            </w:tcMar>
            <w:vAlign w:val="center"/>
          </w:tcPr>
          <w:p>
            <w:pPr>
              <w:spacing w:after="50" w:line="248"/>
            </w:pPr>
            <w:r>
              <w:rPr>
                <w:b w:val="false"/>
                <w:bCs w:val="false"/>
                <w:color w:val="23302A"/>
                <w:sz w:val="19"/>
                <w:szCs w:val="19"/>
              </w:rPr>
              <w:t xml:space="preserve">Mi vida cotidiana ha estado llena de cosas que me interesan</w:t>
            </w:r>
          </w:p>
        </w:tc>
        <w:tc>
          <w:tcPr>
            <w:tcW w:type="dxa" w:w="3744"/>
            <w:tcMar>
              <w:top w:type="dxa" w:w="105"/>
              <w:left w:type="dxa" w:w="125"/>
              <w:bottom w:type="dxa" w:w="105"/>
              <w:right w:type="dxa" w:w="125"/>
            </w:tcMar>
            <w:vAlign w:val="center"/>
          </w:tcPr>
          <w:p>
            <w:pPr>
              <w:spacing w:after="50" w:line="248"/>
            </w:pPr>
            <w:r>
              <w:rPr>
                <w:b w:val="false"/>
                <w:bCs w:val="false"/>
                <w:color w:val="23302A"/>
                <w:sz w:val="19"/>
                <w:szCs w:val="19"/>
              </w:rPr>
              <w:t xml:space="preserve">De vez en cuando = 1 · Nunca = 0</w:t>
            </w:r>
          </w:p>
        </w:tc>
      </w:tr>
    </w:tbl>
    <w:p>
      <w:pPr>
        <w:spacing w:after="245" w:before="105"/>
      </w:pPr>
      <w:r>
        <w:rPr>
          <w:i/>
          <w:iCs/>
          <w:color w:val="6B7280"/>
          <w:sz w:val="18"/>
          <w:szCs w:val="18"/>
        </w:rPr>
        <w:t xml:space="preserve">Tabla 3. Ítems del WHO-5 y codificación de respuestas.</w:t>
      </w:r>
    </w:p>
    <w:p>
      <w:pPr>
        <w:spacing w:after="140" w:before="280"/>
      </w:pPr>
      <w:r>
        <w:rPr>
          <w:b/>
          <w:bCs/>
          <w:color w:val="1F6F3F"/>
          <w:spacing w:val="20"/>
          <w:sz w:val="18"/>
          <w:szCs w:val="18"/>
        </w:rPr>
        <w:t xml:space="preserve">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crudo   = suma de los 5 ítems          // rango 0 a 25</w:t>
            </w:r>
          </w:p>
          <w:p>
            <w:pPr>
              <w:spacing w:after="30" w:line="240"/>
            </w:pPr>
            <w:r>
              <w:rPr>
                <w:rFonts w:ascii="Consolas" w:cs="Consolas" w:eastAsia="Consolas" w:hAnsi="Consolas"/>
                <w:color w:val="1F3D2B"/>
                <w:sz w:val="17"/>
                <w:szCs w:val="17"/>
              </w:rPr>
              <w:t xml:space="preserve">escala  = crudo * 4                    // rango 0 a 100</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REGLA CRÍTICA: el umbral de 13 se evalúa sobre el CRUDO, no sobre escala.</w:t>
            </w:r>
          </w:p>
          <w:p>
            <w:pPr>
              <w:spacing w:after="30" w:line="240"/>
            </w:pPr>
            <w:r>
              <w:rPr>
                <w:rFonts w:ascii="Consolas" w:cs="Consolas" w:eastAsia="Consolas" w:hAnsi="Consolas"/>
                <w:color w:val="1F3D2B"/>
                <w:sz w:val="17"/>
                <w:szCs w:val="17"/>
              </w:rPr>
              <w:t xml:space="preserve">// Fuente: instrucciones oficiales WHO-5, "la primera puntuación calculada".</w:t>
            </w:r>
          </w:p>
          <w:p>
            <w:pPr>
              <w:spacing w:after="30" w:line="240"/>
            </w:pPr>
            <w:r>
              <w:rPr>
                <w:rFonts w:ascii="Consolas" w:cs="Consolas" w:eastAsia="Consolas" w:hAnsi="Consolas"/>
                <w:color w:val="1F3D2B"/>
                <w:sz w:val="17"/>
                <w:szCs w:val="17"/>
              </w:rPr>
              <w:t xml:space="preserve">// Aplicar 13 sobre la escala 0-100 haría el filtro inservible.</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abrirMDI = (crudo &lt; 13) || items.some(v =&gt; v &lt;= 1)</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F" w:val="clear"/>
            <w:tcMar>
              <w:top w:type="dxa" w:w="175"/>
              <w:left w:type="dxa" w:w="205"/>
              <w:bottom w:type="dxa" w:w="175"/>
              <w:right w:type="dxa" w:w="205"/>
            </w:tcMar>
          </w:tcPr>
          <w:p>
            <w:pPr>
              <w:spacing w:after="95"/>
            </w:pPr>
            <w:r>
              <w:rPr>
                <w:b/>
                <w:bCs/>
                <w:color w:val="B22222"/>
                <w:sz w:val="21"/>
                <w:szCs w:val="21"/>
              </w:rPr>
              <w:t xml:space="preserve">El error que hay que evitar en la implementación</w:t>
            </w:r>
          </w:p>
          <w:p>
            <w:pPr>
              <w:spacing w:after="78" w:line="256"/>
            </w:pPr>
            <w:r>
              <w:rPr>
                <w:sz w:val="20"/>
                <w:szCs w:val="20"/>
              </w:rPr>
              <w:t xml:space="preserve">El corte de 13 vive en la escala cruda de 0 a 25, equivalente a 52 sobre 100. Si se compara contra la escala de 0 a 100, solo se detectaría a quien obtenga 12 de 100 o menos, es decir, prácticamente a nadie.</w:t>
            </w:r>
          </w:p>
          <w:p>
            <w:pPr>
              <w:spacing w:after="78" w:line="256"/>
            </w:pPr>
            <w:r>
              <w:rPr>
                <w:sz w:val="20"/>
                <w:szCs w:val="20"/>
              </w:rPr>
              <w:t xml:space="preserve">La segunda condición es independiente del total: un usuario puede obtener 15 de crudo y aun así abrir el MDI si respondió 0 o 1 en cualquier ítem individual.</w:t>
            </w:r>
          </w:p>
        </w:tc>
      </w:tr>
    </w:tbl>
    <w:p>
      <w:pPr>
        <w:spacing w:after="140" w:before="280"/>
      </w:pPr>
      <w:r>
        <w:rPr>
          <w:b/>
          <w:bCs/>
          <w:color w:val="1F6F3F"/>
          <w:spacing w:val="20"/>
          <w:sz w:val="18"/>
          <w:szCs w:val="18"/>
        </w:rPr>
        <w:t xml:space="preserve">REGLA DE CAMBIO LONGITUDINAL</w:t>
      </w:r>
    </w:p>
    <w:p>
      <w:pPr>
        <w:spacing w:after="175" w:before="0" w:line="274"/>
      </w:pPr>
      <w:r>
        <w:rPr>
          <w:sz w:val="20"/>
          <w:szCs w:val="20"/>
        </w:rPr>
        <w:t xml:space="preserve">Las instrucciones del instrumento establecen que una diferencia de diez puntos en la puntuación porcentual constituye un cambio significativo. La comparación solo es válida entre aplicaciones separadas por catorce días o más, porque la ventana de recuerdo del instrumento es de dos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7" w:val="clear"/>
            <w:tcMar>
              <w:top w:type="dxa" w:w="175"/>
              <w:left w:type="dxa" w:w="205"/>
              <w:bottom w:type="dxa" w:w="175"/>
              <w:right w:type="dxa" w:w="205"/>
            </w:tcMar>
          </w:tcPr>
          <w:p>
            <w:pPr>
              <w:spacing w:after="95"/>
            </w:pPr>
            <w:r>
              <w:rPr>
                <w:b/>
                <w:bCs/>
                <w:color w:val="1F4E6F"/>
                <w:sz w:val="21"/>
                <w:szCs w:val="21"/>
              </w:rPr>
              <w:t xml:space="preserve">Criterio según el origen de la aplicación</w:t>
            </w:r>
          </w:p>
          <w:p>
            <w:pPr>
              <w:spacing w:after="78" w:line="256"/>
            </w:pPr>
            <w:r>
              <w:rPr>
                <w:sz w:val="20"/>
                <w:szCs w:val="20"/>
              </w:rPr>
              <w:t xml:space="preserve">Aplicación PROGRAMADA (cada 14 días): se evalúan ambos criterios, el absoluto y el de cambio de 10 puntos.</w:t>
            </w:r>
          </w:p>
          <w:p>
            <w:pPr>
              <w:spacing w:after="78" w:line="256"/>
            </w:pPr>
            <w:r>
              <w:rPr>
                <w:sz w:val="20"/>
                <w:szCs w:val="20"/>
              </w:rPr>
              <w:t xml:space="preserve">Aplicación ADELANTADA por señal de vigilancia diaria: se evalúa SOLO el criterio absoluto. La comparación de 10 puntos no es válida entre aplicaciones separadas por menos de 14 días, porque la ventana de recuerdo del instrumento es de dos semanas y los periodos se traslapan.</w:t>
            </w:r>
          </w:p>
          <w:p>
            <w:pPr>
              <w:spacing w:after="78" w:line="256"/>
            </w:pPr>
            <w:r>
              <w:rPr>
                <w:sz w:val="20"/>
                <w:szCs w:val="20"/>
              </w:rPr>
              <w:t xml:space="preserve">El registro debe guardar el origen de cada aplicación: 'programada' o 'adelantada'.</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const DIAS_MIN = 14;</w:t>
            </w:r>
          </w:p>
          <w:p>
            <w:pPr>
              <w:spacing w:after="30" w:line="240"/>
            </w:pPr>
            <w:r>
              <w:rPr>
                <w:rFonts w:ascii="Consolas" w:cs="Consolas" w:eastAsia="Consolas" w:hAnsi="Consolas"/>
                <w:color w:val="1F3D2B"/>
                <w:sz w:val="17"/>
                <w:szCs w:val="17"/>
              </w:rPr>
              <w:t xml:space="preserve">const CAIDA_SIGNIFICATIVA = 10;   // puntos sobre la escala 0-100</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function cambioSignificativo(actual, anterior) {</w:t>
            </w:r>
          </w:p>
          <w:p>
            <w:pPr>
              <w:spacing w:after="30" w:line="240"/>
            </w:pPr>
            <w:r>
              <w:rPr>
                <w:rFonts w:ascii="Consolas" w:cs="Consolas" w:eastAsia="Consolas" w:hAnsi="Consolas"/>
                <w:color w:val="1F3D2B"/>
                <w:sz w:val="17"/>
                <w:szCs w:val="17"/>
              </w:rPr>
              <w:t xml:space="preserve">  if (!anterior) return false;</w:t>
            </w:r>
          </w:p>
          <w:p>
            <w:pPr>
              <w:spacing w:after="30" w:line="240"/>
            </w:pPr>
            <w:r>
              <w:rPr>
                <w:rFonts w:ascii="Consolas" w:cs="Consolas" w:eastAsia="Consolas" w:hAnsi="Consolas"/>
                <w:color w:val="1F3D2B"/>
                <w:sz w:val="17"/>
                <w:szCs w:val="17"/>
              </w:rPr>
              <w:t xml:space="preserve">  const dias = diffDias(actual.fecha, anterior.fecha);</w:t>
            </w:r>
          </w:p>
          <w:p>
            <w:pPr>
              <w:spacing w:after="30" w:line="240"/>
            </w:pPr>
            <w:r>
              <w:rPr>
                <w:rFonts w:ascii="Consolas" w:cs="Consolas" w:eastAsia="Consolas" w:hAnsi="Consolas"/>
                <w:color w:val="1F3D2B"/>
                <w:sz w:val="17"/>
                <w:szCs w:val="17"/>
              </w:rPr>
              <w:t xml:space="preserve">  if (dias &lt; DIAS_MIN) return false;</w:t>
            </w:r>
          </w:p>
          <w:p>
            <w:pPr>
              <w:spacing w:after="30" w:line="240"/>
            </w:pPr>
            <w:r>
              <w:rPr>
                <w:rFonts w:ascii="Consolas" w:cs="Consolas" w:eastAsia="Consolas" w:hAnsi="Consolas"/>
                <w:color w:val="1F3D2B"/>
                <w:sz w:val="17"/>
                <w:szCs w:val="17"/>
              </w:rPr>
              <w:t xml:space="preserve">  return (anterior.escala - actual.escala) &gt;= CAIDA_SIGNIFICATIVA;</w:t>
            </w:r>
          </w:p>
          <w:p>
            <w:pPr>
              <w:spacing w:after="30" w:line="240"/>
            </w:pPr>
            <w:r>
              <w:rPr>
                <w:rFonts w:ascii="Consolas" w:cs="Consolas" w:eastAsia="Consolas" w:hAnsi="Consolas"/>
                <w:color w:val="1F3D2B"/>
                <w:sz w:val="17"/>
                <w:szCs w:val="17"/>
              </w:rPr>
              <w:t xml:space="preserve">}</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Si devuelve true: elevar a AMARILLO como mínimo y abrir MDI,</w:t>
            </w:r>
          </w:p>
          <w:p>
            <w:pPr>
              <w:spacing w:after="30" w:line="240"/>
            </w:pPr>
            <w:r>
              <w:rPr>
                <w:rFonts w:ascii="Consolas" w:cs="Consolas" w:eastAsia="Consolas" w:hAnsi="Consolas"/>
                <w:color w:val="1F3D2B"/>
                <w:sz w:val="17"/>
                <w:szCs w:val="17"/>
              </w:rPr>
              <w:t xml:space="preserve">// aunque el crudo siga por encima de 13.</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3</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Capa 2 — Major Depression Inventory</w:t>
            </w:r>
          </w:p>
        </w:tc>
      </w:tr>
    </w:tbl>
    <w:p>
      <w:pPr>
        <w:spacing w:after="115"/>
      </w:pPr>
      <w:r>
        <w:t xml:space="preserve"/>
      </w:r>
    </w:p>
    <w:p>
      <w:pPr>
        <w:spacing w:after="175" w:before="0" w:line="274"/>
      </w:pPr>
      <w:r>
        <w:rPr>
          <w:sz w:val="21"/>
          <w:szCs w:val="21"/>
        </w:rPr>
        <w:t xml:space="preserve">Doce preguntas que puntúan diez ítems. Los pares 8a/8b y 10a/10b son subítems del mismo constructo. Escala de 0 a 5 por ítem, total de 0 a 50, ventana de dos semanas.</w:t>
      </w:r>
    </w:p>
    <w:p>
      <w:pPr>
        <w:spacing w:after="140" w:before="280"/>
      </w:pPr>
      <w:r>
        <w:rPr>
          <w:b/>
          <w:bCs/>
          <w:color w:val="1F6F3F"/>
          <w:spacing w:val="20"/>
          <w:sz w:val="18"/>
          <w:szCs w:val="18"/>
        </w:rPr>
        <w:t xml:space="preserve">ÍTEMS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148"/>
        <w:gridCol w:w="3276"/>
      </w:tblGrid>
      <w:tr>
        <w:trPr>
          <w:tblHeader/>
        </w:trPr>
        <w:tc>
          <w:tcPr>
            <w:tcW w:type="dxa" w:w="936"/>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w:t>
            </w:r>
          </w:p>
        </w:tc>
        <w:tc>
          <w:tcPr>
            <w:tcW w:type="dxa" w:w="5148"/>
            <w:shd w:fill="1F6F3F" w:val="clear"/>
            <w:tcMar>
              <w:top w:type="dxa" w:w="105"/>
              <w:left w:type="dxa" w:w="125"/>
              <w:bottom w:type="dxa" w:w="105"/>
              <w:right w:type="dxa" w:w="125"/>
            </w:tcMar>
            <w:vAlign w:val="center"/>
          </w:tcPr>
          <w:p>
            <w:pPr>
              <w:spacing w:after="50" w:line="248"/>
            </w:pPr>
            <w:r>
              <w:rPr>
                <w:b/>
                <w:bCs/>
                <w:color w:val="FFFFFF"/>
                <w:sz w:val="19"/>
                <w:szCs w:val="19"/>
              </w:rPr>
              <w:t xml:space="preserve">Contenido</w:t>
            </w:r>
          </w:p>
        </w:tc>
        <w:tc>
          <w:tcPr>
            <w:tcW w:type="dxa" w:w="3276"/>
            <w:shd w:fill="1F6F3F" w:val="clear"/>
            <w:tcMar>
              <w:top w:type="dxa" w:w="105"/>
              <w:left w:type="dxa" w:w="125"/>
              <w:bottom w:type="dxa" w:w="105"/>
              <w:right w:type="dxa" w:w="125"/>
            </w:tcMar>
            <w:vAlign w:val="center"/>
          </w:tcPr>
          <w:p>
            <w:pPr>
              <w:spacing w:after="50" w:line="248"/>
            </w:pPr>
            <w:r>
              <w:rPr>
                <w:b/>
                <w:bCs/>
                <w:color w:val="FFFFFF"/>
                <w:sz w:val="19"/>
                <w:szCs w:val="19"/>
              </w:rPr>
              <w:t xml:space="preserve">Dominio</w:t>
            </w:r>
          </w:p>
        </w:tc>
      </w:tr>
      <w:tr>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Se ha sentido triste o con el ánimo bajo</w:t>
            </w:r>
          </w:p>
        </w:tc>
        <w:tc>
          <w:tcPr>
            <w:tcW w:type="dxa" w:w="3276"/>
            <w:tcMar>
              <w:top w:type="dxa" w:w="105"/>
              <w:left w:type="dxa" w:w="125"/>
              <w:bottom w:type="dxa" w:w="105"/>
              <w:right w:type="dxa" w:w="125"/>
            </w:tcMar>
            <w:vAlign w:val="center"/>
          </w:tcPr>
          <w:p>
            <w:pPr>
              <w:spacing w:after="50" w:line="248"/>
            </w:pPr>
            <w:r>
              <w:rPr>
                <w:b w:val="false"/>
                <w:bCs w:val="false"/>
                <w:color w:val="23302A"/>
                <w:sz w:val="19"/>
                <w:szCs w:val="19"/>
              </w:rPr>
              <w:t xml:space="preserve">Afecto</w:t>
            </w:r>
          </w:p>
        </w:tc>
      </w:tr>
      <w:tr>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Ha perdido interés en sus actividades cotidianas</w:t>
            </w:r>
          </w:p>
        </w:tc>
        <w:tc>
          <w:tcPr>
            <w:tcW w:type="dxa" w:w="327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Anhedonia</w:t>
            </w:r>
          </w:p>
        </w:tc>
      </w:tr>
      <w:tr>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Se ha sentido falto de energía y fuerzas</w:t>
            </w:r>
          </w:p>
        </w:tc>
        <w:tc>
          <w:tcPr>
            <w:tcW w:type="dxa" w:w="3276"/>
            <w:tcMar>
              <w:top w:type="dxa" w:w="105"/>
              <w:left w:type="dxa" w:w="125"/>
              <w:bottom w:type="dxa" w:w="105"/>
              <w:right w:type="dxa" w:w="125"/>
            </w:tcMar>
            <w:vAlign w:val="center"/>
          </w:tcPr>
          <w:p>
            <w:pPr>
              <w:spacing w:after="50" w:line="248"/>
            </w:pPr>
            <w:r>
              <w:rPr>
                <w:b w:val="false"/>
                <w:bCs w:val="false"/>
                <w:color w:val="23302A"/>
                <w:sz w:val="19"/>
                <w:szCs w:val="19"/>
              </w:rPr>
              <w:t xml:space="preserve">Energía</w:t>
            </w:r>
          </w:p>
        </w:tc>
      </w:tr>
      <w:tr>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Se ha sentido con menos confianza en sí mismo</w:t>
            </w:r>
          </w:p>
        </w:tc>
        <w:tc>
          <w:tcPr>
            <w:tcW w:type="dxa" w:w="327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Autopercepción</w:t>
            </w:r>
          </w:p>
        </w:tc>
      </w:tr>
      <w:tr>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Ha tenido mala conciencia o sentimientos de culpa</w:t>
            </w:r>
          </w:p>
        </w:tc>
        <w:tc>
          <w:tcPr>
            <w:tcW w:type="dxa" w:w="3276"/>
            <w:tcMar>
              <w:top w:type="dxa" w:w="105"/>
              <w:left w:type="dxa" w:w="125"/>
              <w:bottom w:type="dxa" w:w="105"/>
              <w:right w:type="dxa" w:w="125"/>
            </w:tcMar>
            <w:vAlign w:val="center"/>
          </w:tcPr>
          <w:p>
            <w:pPr>
              <w:spacing w:after="50" w:line="248"/>
            </w:pPr>
            <w:r>
              <w:rPr>
                <w:b w:val="false"/>
                <w:bCs w:val="false"/>
                <w:color w:val="23302A"/>
                <w:sz w:val="19"/>
                <w:szCs w:val="19"/>
              </w:rPr>
              <w:t xml:space="preserve">Autopercepción</w:t>
            </w:r>
          </w:p>
        </w:tc>
      </w:tr>
      <w:tr>
        <w:tc>
          <w:tcPr>
            <w:tcW w:type="dxa" w:w="936"/>
            <w:shd w:fill="FBE7E5"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6</w:t>
            </w:r>
          </w:p>
        </w:tc>
        <w:tc>
          <w:tcPr>
            <w:tcW w:type="dxa" w:w="5148"/>
            <w:shd w:fill="FBE7E5" w:val="clear"/>
            <w:tcMar>
              <w:top w:type="dxa" w:w="105"/>
              <w:left w:type="dxa" w:w="125"/>
              <w:bottom w:type="dxa" w:w="105"/>
              <w:right w:type="dxa" w:w="125"/>
            </w:tcMar>
            <w:vAlign w:val="center"/>
          </w:tcPr>
          <w:p>
            <w:pPr>
              <w:spacing w:after="50" w:line="248"/>
            </w:pPr>
            <w:r>
              <w:rPr>
                <w:b w:val="false"/>
                <w:bCs w:val="false"/>
                <w:color w:val="23302A"/>
                <w:sz w:val="19"/>
                <w:szCs w:val="19"/>
              </w:rPr>
              <w:t xml:space="preserve">Ha sentido que la vida no valía la pena vivirla</w:t>
            </w:r>
          </w:p>
        </w:tc>
        <w:tc>
          <w:tcPr>
            <w:tcW w:type="dxa" w:w="3276"/>
            <w:shd w:fill="FBE7E5" w:val="clear"/>
            <w:tcMar>
              <w:top w:type="dxa" w:w="105"/>
              <w:left w:type="dxa" w:w="125"/>
              <w:bottom w:type="dxa" w:w="105"/>
              <w:right w:type="dxa" w:w="125"/>
            </w:tcMar>
            <w:vAlign w:val="center"/>
          </w:tcPr>
          <w:p>
            <w:pPr>
              <w:spacing w:after="50" w:line="248"/>
            </w:pPr>
            <w:r>
              <w:rPr>
                <w:b w:val="false"/>
                <w:bCs w:val="false"/>
                <w:color w:val="23302A"/>
                <w:sz w:val="19"/>
                <w:szCs w:val="19"/>
              </w:rPr>
              <w:t xml:space="preserve">IDEACIÓN — ver capa 3</w:t>
            </w:r>
          </w:p>
        </w:tc>
      </w:tr>
      <w:tr>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7</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Ha tenido dificultad para concentrarse</w:t>
            </w:r>
          </w:p>
        </w:tc>
        <w:tc>
          <w:tcPr>
            <w:tcW w:type="dxa" w:w="3276"/>
            <w:tcMar>
              <w:top w:type="dxa" w:w="105"/>
              <w:left w:type="dxa" w:w="125"/>
              <w:bottom w:type="dxa" w:w="105"/>
              <w:right w:type="dxa" w:w="125"/>
            </w:tcMar>
            <w:vAlign w:val="center"/>
          </w:tcPr>
          <w:p>
            <w:pPr>
              <w:spacing w:after="50" w:line="248"/>
            </w:pPr>
            <w:r>
              <w:rPr>
                <w:b w:val="false"/>
                <w:bCs w:val="false"/>
                <w:color w:val="23302A"/>
                <w:sz w:val="19"/>
                <w:szCs w:val="19"/>
              </w:rPr>
              <w:t xml:space="preserve">Cognitivo</w:t>
            </w:r>
          </w:p>
        </w:tc>
      </w:tr>
      <w:tr>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8a / 8b</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Se ha sentido inquieto / se ha sentido lento o inhibido</w:t>
            </w:r>
          </w:p>
        </w:tc>
        <w:tc>
          <w:tcPr>
            <w:tcW w:type="dxa" w:w="327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Psicomotor</w:t>
            </w:r>
          </w:p>
        </w:tc>
      </w:tr>
      <w:tr>
        <w:tc>
          <w:tcPr>
            <w:tcW w:type="dxa" w:w="936"/>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9</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Ha tenido dificultades para dormir</w:t>
            </w:r>
          </w:p>
        </w:tc>
        <w:tc>
          <w:tcPr>
            <w:tcW w:type="dxa" w:w="3276"/>
            <w:tcMar>
              <w:top w:type="dxa" w:w="105"/>
              <w:left w:type="dxa" w:w="125"/>
              <w:bottom w:type="dxa" w:w="105"/>
              <w:right w:type="dxa" w:w="125"/>
            </w:tcMar>
            <w:vAlign w:val="center"/>
          </w:tcPr>
          <w:p>
            <w:pPr>
              <w:spacing w:after="50" w:line="248"/>
            </w:pPr>
            <w:r>
              <w:rPr>
                <w:b w:val="false"/>
                <w:bCs w:val="false"/>
                <w:color w:val="23302A"/>
                <w:sz w:val="19"/>
                <w:szCs w:val="19"/>
              </w:rPr>
              <w:t xml:space="preserve">Sueño</w:t>
            </w:r>
          </w:p>
        </w:tc>
      </w:tr>
      <w:tr>
        <w:tc>
          <w:tcPr>
            <w:tcW w:type="dxa" w:w="936"/>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10a / 10b</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Ha tenido menos apetito / ha tenido más apetito</w:t>
            </w:r>
          </w:p>
        </w:tc>
        <w:tc>
          <w:tcPr>
            <w:tcW w:type="dxa" w:w="327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Apetito</w:t>
            </w:r>
          </w:p>
        </w:tc>
      </w:tr>
    </w:tbl>
    <w:p>
      <w:pPr>
        <w:spacing w:after="245" w:before="105"/>
      </w:pPr>
      <w:r>
        <w:rPr>
          <w:i/>
          <w:iCs/>
          <w:color w:val="6B7280"/>
          <w:sz w:val="18"/>
          <w:szCs w:val="18"/>
        </w:rPr>
        <w:t xml:space="preserve">Tabla 4. Ítems del MDI. El ítem 6 tiene tratamiento especial y se documenta en la capa 3.</w:t>
      </w:r>
    </w:p>
    <w:p>
      <w:pPr>
        <w:spacing w:after="140" w:before="280"/>
      </w:pPr>
      <w:r>
        <w:rPr>
          <w:b/>
          <w:bCs/>
          <w:color w:val="1F6F3F"/>
          <w:spacing w:val="20"/>
          <w:sz w:val="18"/>
          <w:szCs w:val="18"/>
        </w:rPr>
        <w:t xml:space="preserve">CÁLCULO Y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 Los subítems toman el valor MAYOR del par, no la suma.</w:t>
            </w:r>
          </w:p>
          <w:p>
            <w:pPr>
              <w:spacing w:after="30" w:line="240"/>
            </w:pPr>
            <w:r>
              <w:rPr>
                <w:rFonts w:ascii="Consolas" w:cs="Consolas" w:eastAsia="Consolas" w:hAnsi="Consolas"/>
                <w:color w:val="1F3D2B"/>
                <w:sz w:val="17"/>
                <w:szCs w:val="17"/>
              </w:rPr>
              <w:t xml:space="preserve">const i8  = Math.max(r.i8a, r.i8b);</w:t>
            </w:r>
          </w:p>
          <w:p>
            <w:pPr>
              <w:spacing w:after="30" w:line="240"/>
            </w:pPr>
            <w:r>
              <w:rPr>
                <w:rFonts w:ascii="Consolas" w:cs="Consolas" w:eastAsia="Consolas" w:hAnsi="Consolas"/>
                <w:color w:val="1F3D2B"/>
                <w:sz w:val="17"/>
                <w:szCs w:val="17"/>
              </w:rPr>
              <w:t xml:space="preserve">const i10 = Math.max(r.i10a, r.i10b);</w:t>
            </w:r>
          </w:p>
          <w:p>
            <w:pPr>
              <w:spacing w:after="30" w:line="240"/>
            </w:pPr>
            <w:r>
              <w:rPr>
                <w:rFonts w:ascii="Consolas" w:cs="Consolas" w:eastAsia="Consolas" w:hAnsi="Consolas"/>
                <w:color w:val="1F3D2B"/>
                <w:sz w:val="17"/>
                <w:szCs w:val="17"/>
              </w:rPr>
              <w:t xml:space="preserve">const total = r.i1+r.i2+r.i3+r.i4+r.i5+r.i6+r.i7+i8+r.i9+i10;  // 0 a 50</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let nivel;</w:t>
            </w:r>
          </w:p>
          <w:p>
            <w:pPr>
              <w:spacing w:after="30" w:line="240"/>
            </w:pPr>
            <w:r>
              <w:rPr>
                <w:rFonts w:ascii="Consolas" w:cs="Consolas" w:eastAsia="Consolas" w:hAnsi="Consolas"/>
                <w:color w:val="1F3D2B"/>
                <w:sz w:val="17"/>
                <w:szCs w:val="17"/>
              </w:rPr>
              <w:t xml:space="preserve">if      (total &lt; 20) nivel = 'AMARILLO';   // sin depresión</w:t>
            </w:r>
          </w:p>
          <w:p>
            <w:pPr>
              <w:spacing w:after="30" w:line="240"/>
            </w:pPr>
            <w:r>
              <w:rPr>
                <w:rFonts w:ascii="Consolas" w:cs="Consolas" w:eastAsia="Consolas" w:hAnsi="Consolas"/>
                <w:color w:val="1F3D2B"/>
                <w:sz w:val="17"/>
                <w:szCs w:val="17"/>
              </w:rPr>
              <w:t xml:space="preserve">else if (total &lt; 25) nivel = 'NARANJA';    // leve      20-24</w:t>
            </w:r>
          </w:p>
          <w:p>
            <w:pPr>
              <w:spacing w:after="30" w:line="240"/>
            </w:pPr>
            <w:r>
              <w:rPr>
                <w:rFonts w:ascii="Consolas" w:cs="Consolas" w:eastAsia="Consolas" w:hAnsi="Consolas"/>
                <w:color w:val="1F3D2B"/>
                <w:sz w:val="17"/>
                <w:szCs w:val="17"/>
              </w:rPr>
              <w:t xml:space="preserve">else if (total &lt; 30) nivel = 'NARANJA';    // moderada  25-29</w:t>
            </w:r>
          </w:p>
          <w:p>
            <w:pPr>
              <w:spacing w:after="30" w:line="240"/>
            </w:pPr>
            <w:r>
              <w:rPr>
                <w:rFonts w:ascii="Consolas" w:cs="Consolas" w:eastAsia="Consolas" w:hAnsi="Consolas"/>
                <w:color w:val="1F3D2B"/>
                <w:sz w:val="17"/>
                <w:szCs w:val="17"/>
              </w:rPr>
              <w:t xml:space="preserve">else                 nivel = 'ROJO';       // grave     30+</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8EC" w:val="clear"/>
            <w:tcMar>
              <w:top w:type="dxa" w:w="175"/>
              <w:left w:type="dxa" w:w="205"/>
              <w:bottom w:type="dxa" w:w="175"/>
              <w:right w:type="dxa" w:w="205"/>
            </w:tcMar>
          </w:tcPr>
          <w:p>
            <w:pPr>
              <w:spacing w:after="95"/>
            </w:pPr>
            <w:r>
              <w:rPr>
                <w:b/>
                <w:bCs/>
                <w:color w:val="9A6B00"/>
                <w:sz w:val="21"/>
                <w:szCs w:val="21"/>
              </w:rPr>
              <w:t xml:space="preserve">Prohibido implementar el algoritmo diagnóstico</w:t>
            </w:r>
          </w:p>
          <w:p>
            <w:pPr>
              <w:spacing w:after="78" w:line="256"/>
            </w:pPr>
            <w:r>
              <w:rPr>
                <w:sz w:val="20"/>
                <w:szCs w:val="20"/>
              </w:rPr>
              <w:t xml:space="preserve">El MDI admite un segundo uso: aplicar los criterios ICD-10 y DSM-IV para emitir un diagnóstico de episodio depresivo. NO se implementa.</w:t>
            </w:r>
          </w:p>
          <w:p>
            <w:pPr>
              <w:spacing w:after="78" w:line="256"/>
            </w:pPr>
            <w:r>
              <w:rPr>
                <w:sz w:val="20"/>
                <w:szCs w:val="20"/>
              </w:rPr>
              <w:t xml:space="preserve">Razón: emitir un diagnóstico contradice el deslinde del producto y cambiaría su clasificación regulatoria. Solo se usa la escala de severidad.</w:t>
            </w:r>
          </w:p>
          <w:p>
            <w:pPr>
              <w:spacing w:after="78" w:line="256"/>
            </w:pPr>
            <w:r>
              <w:rPr>
                <w:sz w:val="20"/>
                <w:szCs w:val="20"/>
              </w:rPr>
              <w:t xml:space="preserve">Si alguien propone agregarlo, la respuesta es no, y esta línea es la referencia.</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4</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Capa 3 — ASQ y banderas de riesgo</w:t>
            </w:r>
          </w:p>
        </w:tc>
      </w:tr>
    </w:tbl>
    <w:p>
      <w:pPr>
        <w:spacing w:after="115"/>
      </w:pPr>
      <w:r>
        <w:t xml:space="preserve"/>
      </w:r>
    </w:p>
    <w:p>
      <w:pPr>
        <w:spacing w:after="175" w:before="0" w:line="274"/>
      </w:pPr>
      <w:r>
        <w:rPr>
          <w:sz w:val="21"/>
          <w:szCs w:val="21"/>
        </w:rPr>
        <w:t xml:space="preserve">El ítem 6 del MDI mide ideación pasiva: sentir que la vida no vale la pena. No mide intención. Para distinguirlas se aplica el ASQ del Instituto Nacional de Salud Mental de Estados Unidos, diseñado para tamizaje rápido por personal no especializado.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7" w:val="clear"/>
            <w:tcMar>
              <w:top w:type="dxa" w:w="175"/>
              <w:left w:type="dxa" w:w="205"/>
              <w:bottom w:type="dxa" w:w="175"/>
              <w:right w:type="dxa" w:w="205"/>
            </w:tcMar>
          </w:tcPr>
          <w:p>
            <w:pPr>
              <w:spacing w:after="95"/>
            </w:pPr>
            <w:r>
              <w:rPr>
                <w:b/>
                <w:bCs/>
                <w:color w:val="1F4E6F"/>
                <w:sz w:val="21"/>
                <w:szCs w:val="21"/>
              </w:rPr>
              <w:t xml:space="preserve">Por qué ASQ y no Columbia Protocol</w:t>
            </w:r>
          </w:p>
          <w:p>
            <w:pPr>
              <w:spacing w:after="78" w:line="256"/>
            </w:pPr>
            <w:r>
              <w:rPr>
                <w:sz w:val="20"/>
                <w:szCs w:val="20"/>
              </w:rPr>
              <w:t xml:space="preserve">El Columbia Protocol es gratuito, pero su gratuidad excluye los fines de lucro. Un producto que se vende por suscripción quedaría fuera de esa licencia, y el problema aparecería justo cuando el proyecto empiece a facturar.</w:t>
            </w:r>
          </w:p>
          <w:p>
            <w:pPr>
              <w:spacing w:after="78" w:line="256"/>
            </w:pPr>
            <w:r>
              <w:rPr>
                <w:sz w:val="20"/>
                <w:szCs w:val="20"/>
              </w:rPr>
              <w:t xml:space="preserve">El ASQ se publica sin costo y sin esa restricción, tiene versión oficial en español, se responde en menos de un minuto y sus reglas de interpretación son explícitas. Es la decisión correcta a largo plazo.</w:t>
            </w:r>
          </w:p>
          <w:p>
            <w:pPr>
              <w:spacing w:after="78" w:line="256"/>
            </w:pPr>
            <w:r>
              <w:rPr>
                <w:sz w:val="20"/>
                <w:szCs w:val="20"/>
              </w:rPr>
              <w:t xml:space="preserve">Confirmar por escrito las condiciones de uso con el NIMH antes de la primera factura, igual que con los demás instrumentos.</w:t>
            </w:r>
          </w:p>
        </w:tc>
      </w:tr>
    </w:tbl>
    <w:p>
      <w:pPr>
        <w:spacing w:after="140" w:before="280"/>
      </w:pPr>
      <w:r>
        <w:rPr>
          <w:b/>
          <w:bCs/>
          <w:color w:val="1F6F3F"/>
          <w:spacing w:val="20"/>
          <w:sz w:val="18"/>
          <w:szCs w:val="18"/>
        </w:rPr>
        <w:t xml:space="preserve">LAS CINCO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5148"/>
        <w:gridCol w:w="3557"/>
      </w:tblGrid>
      <w:tr>
        <w:trPr>
          <w:tblHeader/>
        </w:trPr>
        <w:tc>
          <w:tcPr>
            <w:tcW w:type="dxa" w:w="655"/>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w:t>
            </w:r>
          </w:p>
        </w:tc>
        <w:tc>
          <w:tcPr>
            <w:tcW w:type="dxa" w:w="5148"/>
            <w:shd w:fill="1F6F3F" w:val="clear"/>
            <w:tcMar>
              <w:top w:type="dxa" w:w="105"/>
              <w:left w:type="dxa" w:w="125"/>
              <w:bottom w:type="dxa" w:w="105"/>
              <w:right w:type="dxa" w:w="125"/>
            </w:tcMar>
            <w:vAlign w:val="center"/>
          </w:tcPr>
          <w:p>
            <w:pPr>
              <w:spacing w:after="50" w:line="248"/>
            </w:pPr>
            <w:r>
              <w:rPr>
                <w:b/>
                <w:bCs/>
                <w:color w:val="FFFFFF"/>
                <w:sz w:val="19"/>
                <w:szCs w:val="19"/>
              </w:rPr>
              <w:t xml:space="preserve">Pregunta</w:t>
            </w:r>
          </w:p>
        </w:tc>
        <w:tc>
          <w:tcPr>
            <w:tcW w:type="dxa" w:w="3557"/>
            <w:shd w:fill="1F6F3F" w:val="clear"/>
            <w:tcMar>
              <w:top w:type="dxa" w:w="105"/>
              <w:left w:type="dxa" w:w="125"/>
              <w:bottom w:type="dxa" w:w="105"/>
              <w:right w:type="dxa" w:w="125"/>
            </w:tcMar>
            <w:vAlign w:val="center"/>
          </w:tcPr>
          <w:p>
            <w:pPr>
              <w:spacing w:after="50" w:line="248"/>
            </w:pPr>
            <w:r>
              <w:rPr>
                <w:b/>
                <w:bCs/>
                <w:color w:val="FFFFFF"/>
                <w:sz w:val="19"/>
                <w:szCs w:val="19"/>
              </w:rPr>
              <w:t xml:space="preserve">Periodo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¿Ha deseado estar muerto?</w:t>
            </w:r>
          </w:p>
        </w:tc>
        <w:tc>
          <w:tcPr>
            <w:tcW w:type="dxa" w:w="3557"/>
            <w:tcMar>
              <w:top w:type="dxa" w:w="105"/>
              <w:left w:type="dxa" w:w="125"/>
              <w:bottom w:type="dxa" w:w="105"/>
              <w:right w:type="dxa" w:w="125"/>
            </w:tcMar>
            <w:vAlign w:val="center"/>
          </w:tcPr>
          <w:p>
            <w:pPr>
              <w:spacing w:after="50" w:line="248"/>
            </w:pPr>
            <w:r>
              <w:rPr>
                <w:b w:val="false"/>
                <w:bCs w:val="false"/>
                <w:color w:val="23302A"/>
                <w:sz w:val="19"/>
                <w:szCs w:val="19"/>
              </w:rPr>
              <w:t xml:space="preserve">Últimas semanas</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¿Ha sentido que usted o su familia estarían mejor si estuviera muerto?</w:t>
            </w:r>
          </w:p>
        </w:tc>
        <w:tc>
          <w:tcPr>
            <w:tcW w:type="dxa" w:w="355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Últimas semanas</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w:t>
            </w:r>
          </w:p>
        </w:tc>
        <w:tc>
          <w:tcPr>
            <w:tcW w:type="dxa" w:w="5148"/>
            <w:tcMar>
              <w:top w:type="dxa" w:w="105"/>
              <w:left w:type="dxa" w:w="125"/>
              <w:bottom w:type="dxa" w:w="105"/>
              <w:right w:type="dxa" w:w="125"/>
            </w:tcMar>
            <w:vAlign w:val="center"/>
          </w:tcPr>
          <w:p>
            <w:pPr>
              <w:spacing w:after="50" w:line="248"/>
            </w:pPr>
            <w:r>
              <w:rPr>
                <w:b w:val="false"/>
                <w:bCs w:val="false"/>
                <w:color w:val="23302A"/>
                <w:sz w:val="19"/>
                <w:szCs w:val="19"/>
              </w:rPr>
              <w:t xml:space="preserve">¿Ha estado pensando en suicidarse?</w:t>
            </w:r>
          </w:p>
        </w:tc>
        <w:tc>
          <w:tcPr>
            <w:tcW w:type="dxa" w:w="3557"/>
            <w:tcMar>
              <w:top w:type="dxa" w:w="105"/>
              <w:left w:type="dxa" w:w="125"/>
              <w:bottom w:type="dxa" w:w="105"/>
              <w:right w:type="dxa" w:w="125"/>
            </w:tcMar>
            <w:vAlign w:val="center"/>
          </w:tcPr>
          <w:p>
            <w:pPr>
              <w:spacing w:after="50" w:line="248"/>
            </w:pPr>
            <w:r>
              <w:rPr>
                <w:b w:val="false"/>
                <w:bCs w:val="false"/>
                <w:color w:val="23302A"/>
                <w:sz w:val="19"/>
                <w:szCs w:val="19"/>
              </w:rPr>
              <w:t xml:space="preserve">Última semana</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w:t>
            </w:r>
          </w:p>
        </w:tc>
        <w:tc>
          <w:tcPr>
            <w:tcW w:type="dxa" w:w="514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¿Alguna vez ha intentado suicidarse?</w:t>
            </w:r>
          </w:p>
        </w:tc>
        <w:tc>
          <w:tcPr>
            <w:tcW w:type="dxa" w:w="3557"/>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 lo largo de la vida</w:t>
            </w:r>
          </w:p>
        </w:tc>
      </w:tr>
      <w:tr>
        <w:tc>
          <w:tcPr>
            <w:tcW w:type="dxa" w:w="655"/>
            <w:shd w:fill="F7D6D2"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5148"/>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¿Está pensando en suicidarse en este momento?</w:t>
            </w:r>
          </w:p>
        </w:tc>
        <w:tc>
          <w:tcPr>
            <w:tcW w:type="dxa" w:w="3557"/>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Ahora — solo si 1 a 4 dio positivo</w:t>
            </w:r>
          </w:p>
        </w:tc>
      </w:tr>
    </w:tbl>
    <w:p>
      <w:pPr>
        <w:spacing w:after="245" w:before="105"/>
      </w:pPr>
      <w:r>
        <w:rPr>
          <w:i/>
          <w:iCs/>
          <w:color w:val="6B7280"/>
          <w:sz w:val="18"/>
          <w:szCs w:val="18"/>
        </w:rPr>
        <w:t xml:space="preserve">Tabla 5. Preguntas del ASQ. Si la 4 es afirmativa se capturan además método y fecha del intento.</w:t>
      </w:r>
    </w:p>
    <w:p>
      <w:pPr>
        <w:spacing w:after="140" w:before="280"/>
      </w:pPr>
      <w:r>
        <w:rPr>
          <w:b/>
          <w:bCs/>
          <w:color w:val="1F6F3F"/>
          <w:spacing w:val="20"/>
          <w:sz w:val="18"/>
          <w:szCs w:val="18"/>
        </w:rPr>
        <w:t xml:space="preserve">TRES OPCIONES DE RESPUESTA, NO DOS</w:t>
      </w:r>
    </w:p>
    <w:p>
      <w:pPr>
        <w:spacing w:after="175" w:before="0" w:line="274"/>
      </w:pPr>
      <w:r>
        <w:rPr>
          <w:sz w:val="21"/>
          <w:szCs w:val="21"/>
        </w:rPr>
        <w:t xml:space="preserve">El instrumento trata la negativa a responder como prueba positiva. En papel eso ocurre solo; en pantalla hay que darle un lugar explícito, o el usuario se ve forzado a mentir.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 Cada pregunta admite TRES valores. No dos.</w:t>
            </w:r>
          </w:p>
          <w:p>
            <w:pPr>
              <w:spacing w:after="30" w:line="240"/>
            </w:pPr>
            <w:r>
              <w:rPr>
                <w:rFonts w:ascii="Consolas" w:cs="Consolas" w:eastAsia="Consolas" w:hAnsi="Consolas"/>
                <w:color w:val="1F3D2B"/>
                <w:sz w:val="17"/>
                <w:szCs w:val="17"/>
              </w:rPr>
              <w:t xml:space="preserve">type Respuesta = 'si' | 'no' | 'prefiero_no_contestar';</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'prefiero_no_contestar' se procesa EXACTAMENTE igual que 'si'.</w:t>
            </w:r>
          </w:p>
          <w:p>
            <w:pPr>
              <w:spacing w:after="30" w:line="240"/>
            </w:pPr>
            <w:r>
              <w:rPr>
                <w:rFonts w:ascii="Consolas" w:cs="Consolas" w:eastAsia="Consolas" w:hAnsi="Consolas"/>
                <w:color w:val="1F3D2B"/>
                <w:sz w:val="17"/>
                <w:szCs w:val="17"/>
              </w:rPr>
              <w:t xml:space="preserve">const esPositiva = r =&gt; r === 'si' || r === 'prefiero_no_contestar';</w:t>
            </w:r>
          </w:p>
        </w:tc>
      </w:tr>
    </w:tbl>
    <w:p>
      <w:pPr>
        <w:spacing w:after="140" w:before="280"/>
      </w:pPr>
      <w:r>
        <w:rPr>
          <w:b/>
          <w:bCs/>
          <w:color w:val="1F6F3F"/>
          <w:spacing w:val="20"/>
          <w:sz w:val="18"/>
          <w:szCs w:val="18"/>
        </w:rPr>
        <w:t xml:space="preserve">LÓGICA DE APLICACIÓN Y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function aplicarASQ(r) {</w:t>
            </w:r>
          </w:p>
          <w:p>
            <w:pPr>
              <w:spacing w:after="30" w:line="240"/>
            </w:pPr>
            <w:r>
              <w:rPr>
                <w:rFonts w:ascii="Consolas" w:cs="Consolas" w:eastAsia="Consolas" w:hAnsi="Consolas"/>
                <w:color w:val="1F3D2B"/>
                <w:sz w:val="17"/>
                <w:szCs w:val="17"/>
              </w:rPr>
              <w:t xml:space="preserve">  const p1a4 = [r.p1, r.p2, r.p3, r.p4];</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Prueba NEGATIVA: no se formula la pregunta 5.</w:t>
            </w:r>
          </w:p>
          <w:p>
            <w:pPr>
              <w:spacing w:after="30" w:line="240"/>
            </w:pPr>
            <w:r>
              <w:rPr>
                <w:rFonts w:ascii="Consolas" w:cs="Consolas" w:eastAsia="Consolas" w:hAnsi="Consolas"/>
                <w:color w:val="1F3D2B"/>
                <w:sz w:val="17"/>
                <w:szCs w:val="17"/>
              </w:rPr>
              <w:t xml:space="preserve">  if (p1a4.every(x =&gt; x === 'no'))</w:t>
            </w:r>
          </w:p>
          <w:p>
            <w:pPr>
              <w:spacing w:after="30" w:line="240"/>
            </w:pPr>
            <w:r>
              <w:rPr>
                <w:rFonts w:ascii="Consolas" w:cs="Consolas" w:eastAsia="Consolas" w:hAnsi="Consolas"/>
                <w:color w:val="1F3D2B"/>
                <w:sz w:val="17"/>
                <w:szCs w:val="17"/>
              </w:rPr>
              <w:t xml:space="preserve">      return { resultado: 'NEGATIVA', nivel: null };</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Positiva: se formula la 5 para evaluar agudeza.</w:t>
            </w:r>
          </w:p>
          <w:p>
            <w:pPr>
              <w:spacing w:after="30" w:line="240"/>
            </w:pPr>
            <w:r>
              <w:rPr>
                <w:rFonts w:ascii="Consolas" w:cs="Consolas" w:eastAsia="Consolas" w:hAnsi="Consolas"/>
                <w:color w:val="1F3D2B"/>
                <w:sz w:val="17"/>
                <w:szCs w:val="17"/>
              </w:rPr>
              <w:t xml:space="preserve">  const p5 = preguntar(5);</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 Negarse a contestar la 5 se trata como afirmativa:</w:t>
            </w:r>
          </w:p>
          <w:p>
            <w:pPr>
              <w:spacing w:after="30" w:line="240"/>
            </w:pPr>
            <w:r>
              <w:rPr>
                <w:rFonts w:ascii="Consolas" w:cs="Consolas" w:eastAsia="Consolas" w:hAnsi="Consolas"/>
                <w:color w:val="1F3D2B"/>
                <w:sz w:val="17"/>
                <w:szCs w:val="17"/>
              </w:rPr>
              <w:t xml:space="preserve">  // ante la duda, criterio conservador.</w:t>
            </w:r>
          </w:p>
          <w:p>
            <w:pPr>
              <w:spacing w:after="30" w:line="240"/>
            </w:pPr>
            <w:r>
              <w:rPr>
                <w:rFonts w:ascii="Consolas" w:cs="Consolas" w:eastAsia="Consolas" w:hAnsi="Consolas"/>
                <w:color w:val="1F3D2B"/>
                <w:sz w:val="17"/>
                <w:szCs w:val="17"/>
              </w:rPr>
              <w:t xml:space="preserve">  if (esPositiva(p5))</w:t>
            </w:r>
          </w:p>
          <w:p>
            <w:pPr>
              <w:spacing w:after="30" w:line="240"/>
            </w:pPr>
            <w:r>
              <w:rPr>
                <w:rFonts w:ascii="Consolas" w:cs="Consolas" w:eastAsia="Consolas" w:hAnsi="Consolas"/>
                <w:color w:val="1F3D2B"/>
                <w:sz w:val="17"/>
                <w:szCs w:val="17"/>
              </w:rPr>
              <w:t xml:space="preserve">      return { resultado: 'POSITIVA_AGUDA', nivel: 'ROJO_AGUDO' };</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return { resultado: 'POSITIVA_NO_AGUDA', nivel: 'ROJO' };</w:t>
            </w:r>
          </w:p>
          <w:p>
            <w:pPr>
              <w:spacing w:after="30" w:line="240"/>
            </w:pPr>
            <w:r>
              <w:rPr>
                <w:rFonts w:ascii="Consolas" w:cs="Consolas" w:eastAsia="Consolas" w:hAnsi="Consolas"/>
                <w:color w:val="1F3D2B"/>
                <w:sz w:val="17"/>
                <w:szCs w:val="17"/>
              </w:rPr>
              <w:t xml:space="preserve">}</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shd w:fill="1F6F3F" w:val="clear"/>
            <w:tcMar>
              <w:top w:type="dxa" w:w="105"/>
              <w:left w:type="dxa" w:w="125"/>
              <w:bottom w:type="dxa" w:w="105"/>
              <w:right w:type="dxa" w:w="125"/>
            </w:tcMar>
            <w:vAlign w:val="center"/>
          </w:tcPr>
          <w:p>
            <w:pPr>
              <w:spacing w:after="50" w:line="248"/>
            </w:pPr>
            <w:r>
              <w:rPr>
                <w:b/>
                <w:bCs/>
                <w:color w:val="FFFFFF"/>
                <w:sz w:val="19"/>
                <w:szCs w:val="19"/>
              </w:rPr>
              <w:t xml:space="preserve">Resultado</w:t>
            </w:r>
          </w:p>
        </w:tc>
        <w:tc>
          <w:tcPr>
            <w:tcW w:type="dxa" w:w="2808"/>
            <w:shd w:fill="1F6F3F" w:val="clear"/>
            <w:tcMar>
              <w:top w:type="dxa" w:w="105"/>
              <w:left w:type="dxa" w:w="125"/>
              <w:bottom w:type="dxa" w:w="105"/>
              <w:right w:type="dxa" w:w="125"/>
            </w:tcMar>
            <w:vAlign w:val="center"/>
          </w:tcPr>
          <w:p>
            <w:pPr>
              <w:spacing w:after="50" w:line="248"/>
            </w:pPr>
            <w:r>
              <w:rPr>
                <w:b/>
                <w:bCs/>
                <w:color w:val="FFFFFF"/>
                <w:sz w:val="19"/>
                <w:szCs w:val="19"/>
              </w:rPr>
              <w:t xml:space="preserve">Nivel</w:t>
            </w:r>
          </w:p>
        </w:tc>
        <w:tc>
          <w:tcPr>
            <w:tcW w:type="dxa" w:w="4118"/>
            <w:shd w:fill="1F6F3F" w:val="clear"/>
            <w:tcMar>
              <w:top w:type="dxa" w:w="105"/>
              <w:left w:type="dxa" w:w="125"/>
              <w:bottom w:type="dxa" w:w="105"/>
              <w:right w:type="dxa" w:w="125"/>
            </w:tcMar>
            <w:vAlign w:val="center"/>
          </w:tcPr>
          <w:p>
            <w:pPr>
              <w:spacing w:after="50" w:line="248"/>
            </w:pPr>
            <w:r>
              <w:rPr>
                <w:b/>
                <w:bCs/>
                <w:color w:val="FFFFFF"/>
                <w:sz w:val="19"/>
                <w:szCs w:val="19"/>
              </w:rPr>
              <w:t xml:space="preserve">Acción</w:t>
            </w:r>
          </w:p>
        </w:tc>
      </w:tr>
      <w:tr>
        <w:tc>
          <w:tcPr>
            <w:tcW w:type="dxa" w:w="2434"/>
            <w:shd w:fill="EAF5EC" w:val="clear"/>
            <w:tcMar>
              <w:top w:type="dxa" w:w="105"/>
              <w:left w:type="dxa" w:w="125"/>
              <w:bottom w:type="dxa" w:w="105"/>
              <w:right w:type="dxa" w:w="125"/>
            </w:tcMar>
            <w:vAlign w:val="center"/>
          </w:tcPr>
          <w:p>
            <w:pPr>
              <w:spacing w:after="50" w:line="248"/>
            </w:pPr>
            <w:r>
              <w:rPr>
                <w:b w:val="false"/>
                <w:bCs w:val="false"/>
                <w:color w:val="23302A"/>
                <w:sz w:val="19"/>
                <w:szCs w:val="19"/>
              </w:rPr>
              <w:t xml:space="preserve">NEGATIVA</w:t>
            </w:r>
          </w:p>
        </w:tc>
        <w:tc>
          <w:tcPr>
            <w:tcW w:type="dxa" w:w="2808"/>
            <w:shd w:fill="EAF5EC" w:val="clear"/>
            <w:tcMar>
              <w:top w:type="dxa" w:w="105"/>
              <w:left w:type="dxa" w:w="125"/>
              <w:bottom w:type="dxa" w:w="105"/>
              <w:right w:type="dxa" w:w="125"/>
            </w:tcMar>
            <w:vAlign w:val="center"/>
          </w:tcPr>
          <w:p>
            <w:pPr>
              <w:spacing w:after="50" w:line="248"/>
            </w:pPr>
            <w:r>
              <w:rPr>
                <w:b w:val="false"/>
                <w:bCs w:val="false"/>
                <w:color w:val="23302A"/>
                <w:sz w:val="19"/>
                <w:szCs w:val="19"/>
              </w:rPr>
              <w:t xml:space="preserve">No modifica</w:t>
            </w:r>
          </w:p>
        </w:tc>
        <w:tc>
          <w:tcPr>
            <w:tcW w:type="dxa" w:w="4118"/>
            <w:shd w:fill="EAF5EC" w:val="clear"/>
            <w:tcMar>
              <w:top w:type="dxa" w:w="105"/>
              <w:left w:type="dxa" w:w="125"/>
              <w:bottom w:type="dxa" w:w="105"/>
              <w:right w:type="dxa" w:w="125"/>
            </w:tcMar>
            <w:vAlign w:val="center"/>
          </w:tcPr>
          <w:p>
            <w:pPr>
              <w:spacing w:after="50" w:line="248"/>
            </w:pPr>
            <w:r>
              <w:rPr>
                <w:b w:val="false"/>
                <w:bCs w:val="false"/>
                <w:color w:val="23302A"/>
                <w:sz w:val="19"/>
                <w:szCs w:val="19"/>
              </w:rPr>
              <w:t xml:space="preserve">El nivel lo sigue determinando el MDI</w:t>
            </w:r>
          </w:p>
        </w:tc>
      </w:tr>
      <w:tr>
        <w:tc>
          <w:tcPr>
            <w:tcW w:type="dxa" w:w="2434"/>
            <w:shd w:fill="FBEDE0" w:val="clear"/>
            <w:tcMar>
              <w:top w:type="dxa" w:w="105"/>
              <w:left w:type="dxa" w:w="125"/>
              <w:bottom w:type="dxa" w:w="105"/>
              <w:right w:type="dxa" w:w="125"/>
            </w:tcMar>
            <w:vAlign w:val="center"/>
          </w:tcPr>
          <w:p>
            <w:pPr>
              <w:spacing w:after="50" w:line="248"/>
            </w:pPr>
            <w:r>
              <w:rPr>
                <w:b w:val="false"/>
                <w:bCs w:val="false"/>
                <w:color w:val="23302A"/>
                <w:sz w:val="19"/>
                <w:szCs w:val="19"/>
              </w:rPr>
              <w:t xml:space="preserve">POSITIVA_NO_AGUDA</w:t>
            </w:r>
          </w:p>
        </w:tc>
        <w:tc>
          <w:tcPr>
            <w:tcW w:type="dxa" w:w="2808"/>
            <w:shd w:fill="FBEDE0" w:val="clear"/>
            <w:tcMar>
              <w:top w:type="dxa" w:w="105"/>
              <w:left w:type="dxa" w:w="125"/>
              <w:bottom w:type="dxa" w:w="105"/>
              <w:right w:type="dxa" w:w="125"/>
            </w:tcMar>
            <w:vAlign w:val="center"/>
          </w:tcPr>
          <w:p>
            <w:pPr>
              <w:spacing w:after="50" w:line="248"/>
            </w:pPr>
            <w:r>
              <w:rPr>
                <w:b w:val="false"/>
                <w:bCs w:val="false"/>
                <w:color w:val="23302A"/>
                <w:sz w:val="19"/>
                <w:szCs w:val="19"/>
              </w:rPr>
              <w:t xml:space="preserve">ROJO</w:t>
            </w:r>
          </w:p>
        </w:tc>
        <w:tc>
          <w:tcPr>
            <w:tcW w:type="dxa" w:w="4118"/>
            <w:shd w:fill="FBEDE0" w:val="clear"/>
            <w:tcMar>
              <w:top w:type="dxa" w:w="105"/>
              <w:left w:type="dxa" w:w="125"/>
              <w:bottom w:type="dxa" w:w="105"/>
              <w:right w:type="dxa" w:w="125"/>
            </w:tcMar>
            <w:vAlign w:val="center"/>
          </w:tcPr>
          <w:p>
            <w:pPr>
              <w:spacing w:after="50" w:line="248"/>
            </w:pPr>
            <w:r>
              <w:rPr>
                <w:b w:val="false"/>
                <w:bCs w:val="false"/>
                <w:color w:val="23302A"/>
                <w:sz w:val="19"/>
                <w:szCs w:val="19"/>
              </w:rPr>
              <w:t xml:space="preserve">Evaluación breve de seguridad. Contacto humano el mismo día. El caso no se cierra sin contacto verificado</w:t>
            </w:r>
          </w:p>
        </w:tc>
      </w:tr>
      <w:tr>
        <w:tc>
          <w:tcPr>
            <w:tcW w:type="dxa" w:w="2434"/>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POSITIVA_AGUDA</w:t>
            </w:r>
          </w:p>
        </w:tc>
        <w:tc>
          <w:tcPr>
            <w:tcW w:type="dxa" w:w="2808"/>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ROJO AGUDO</w:t>
            </w:r>
          </w:p>
        </w:tc>
        <w:tc>
          <w:tcPr>
            <w:tcW w:type="dxa" w:w="4118"/>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Riesgo inminente. Protocolo inmediato de la sección siguiente</w:t>
            </w:r>
          </w:p>
        </w:tc>
      </w:tr>
    </w:tbl>
    <w:p>
      <w:pPr>
        <w:spacing w:after="245" w:before="105"/>
      </w:pPr>
      <w:r>
        <w:rPr>
          <w:i/>
          <w:iCs/>
          <w:color w:val="6B7280"/>
          <w:sz w:val="18"/>
          <w:szCs w:val="18"/>
        </w:rPr>
        <w:t xml:space="preserve">Tabla 6. Triage del ASQ, literal del instrumento.</w:t>
      </w:r>
    </w:p>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7" w:val="clear"/>
            <w:tcMar>
              <w:top w:type="dxa" w:w="175"/>
              <w:left w:type="dxa" w:w="205"/>
              <w:bottom w:type="dxa" w:w="175"/>
              <w:right w:type="dxa" w:w="205"/>
            </w:tcMar>
          </w:tcPr>
          <w:p>
            <w:pPr>
              <w:spacing w:after="95"/>
            </w:pPr>
            <w:r>
              <w:rPr>
                <w:b/>
                <w:bCs/>
                <w:color w:val="1F4E6F"/>
                <w:sz w:val="21"/>
                <w:szCs w:val="21"/>
              </w:rPr>
              <w:t xml:space="preserve">La nota que el propio instrumento incluye</w:t>
            </w:r>
          </w:p>
          <w:p>
            <w:pPr>
              <w:spacing w:after="78" w:line="256"/>
            </w:pPr>
            <w:r>
              <w:rPr>
                <w:sz w:val="20"/>
                <w:szCs w:val="20"/>
              </w:rPr>
              <w:t xml:space="preserve">El ASQ advierte que el juicio clínico siempre puede anteponerse a una prueba negativa. En el sistema esto se implementa como una vía manual: el profesional del plano clínico puede elevar el nivel de un caso aunque el tamizaje haya salido negativo.</w:t>
            </w:r>
          </w:p>
          <w:p>
            <w:pPr>
              <w:spacing w:after="78" w:line="256"/>
            </w:pPr>
            <w:r>
              <w:rPr>
                <w:sz w:val="20"/>
                <w:szCs w:val="20"/>
              </w:rPr>
              <w:t xml:space="preserve">Esa vía debe existir en el código y quedar registrada en la auditoría. Un sistema que no permite al profesional contradecirlo se está colocando por encima del criterio clínico, que es exactamente lo que este proyecto declara no hacer.</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4b</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Protocolo de Rojo agudo a distancia</w:t>
            </w:r>
          </w:p>
        </w:tc>
      </w:tr>
    </w:tbl>
    <w:p>
      <w:pPr>
        <w:spacing w:after="115"/>
      </w:pPr>
      <w:r>
        <w:t xml:space="preserve"/>
      </w:r>
    </w:p>
    <w:p>
      <w:pPr>
        <w:spacing w:after="175" w:before="0" w:line="274"/>
      </w:pPr>
      <w:r>
        <w:rPr>
          <w:sz w:val="21"/>
          <w:szCs w:val="21"/>
        </w:rPr>
        <w:t xml:space="preserve">El ASQ fue diseñado para urgencias hospitalarias. Dos de sus instrucciones no son ejecutables a distancia: que la persona no puede retirarse hasta ser evaluada, y que se retiren los objetos peligrosos de la habitación. Forzar cualquiera de las dos sería coercitivo y podría ser contraproducente.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F" w:val="clear"/>
            <w:tcMar>
              <w:top w:type="dxa" w:w="175"/>
              <w:left w:type="dxa" w:w="205"/>
              <w:bottom w:type="dxa" w:w="175"/>
              <w:right w:type="dxa" w:w="205"/>
            </w:tcMar>
          </w:tcPr>
          <w:p>
            <w:pPr>
              <w:spacing w:after="95"/>
            </w:pPr>
            <w:r>
              <w:rPr>
                <w:b/>
                <w:bCs/>
                <w:color w:val="B22222"/>
                <w:sz w:val="21"/>
                <w:szCs w:val="21"/>
              </w:rPr>
              <w:t xml:space="preserve">El cambio de sujeto que resuelve el problema</w:t>
            </w:r>
          </w:p>
          <w:p>
            <w:pPr>
              <w:spacing w:after="78" w:line="256"/>
            </w:pPr>
            <w:r>
              <w:rPr>
                <w:sz w:val="20"/>
                <w:szCs w:val="20"/>
              </w:rPr>
              <w:t xml:space="preserve">En la clínica se retiene a la PERSONA. En la aplicación se retiene el CASO.</w:t>
            </w:r>
          </w:p>
          <w:p>
            <w:pPr>
              <w:spacing w:after="78" w:line="256"/>
            </w:pPr>
            <w:r>
              <w:rPr>
                <w:sz w:val="20"/>
                <w:szCs w:val="20"/>
              </w:rPr>
              <w:t xml:space="preserve">El sistema no puede impedir que alguien cierre la pantalla, y no debe intentarlo. Lo que sí puede hacer es no cerrar el caso, no avanzar a otra cosa, y perseguir activamente el contacto humano hasta que se verifique.</w:t>
            </w:r>
          </w:p>
          <w:p>
            <w:pPr>
              <w:spacing w:after="78" w:line="256"/>
            </w:pPr>
            <w:r>
              <w:rPr>
                <w:sz w:val="20"/>
                <w:szCs w:val="20"/>
              </w:rPr>
              <w:t xml:space="preserve">La carga de reestablecer contacto pasa del usuario al sistema. Esa es la traducción correcta de la instrucción original.</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621"/>
        <w:gridCol w:w="5429"/>
      </w:tblGrid>
      <w:tr>
        <w:trPr>
          <w:tblHeader/>
        </w:trPr>
        <w:tc>
          <w:tcPr>
            <w:tcW w:type="dxa" w:w="1310"/>
            <w:shd w:fill="1F6F3F" w:val="clear"/>
            <w:tcMar>
              <w:top w:type="dxa" w:w="105"/>
              <w:left w:type="dxa" w:w="125"/>
              <w:bottom w:type="dxa" w:w="105"/>
              <w:right w:type="dxa" w:w="125"/>
            </w:tcMar>
            <w:vAlign w:val="center"/>
          </w:tcPr>
          <w:p>
            <w:pPr>
              <w:spacing w:after="50" w:line="248"/>
            </w:pPr>
            <w:r>
              <w:rPr>
                <w:b/>
                <w:bCs/>
                <w:color w:val="FFFFFF"/>
                <w:sz w:val="19"/>
                <w:szCs w:val="19"/>
              </w:rPr>
              <w:t xml:space="preserve">Momento</w:t>
            </w:r>
          </w:p>
        </w:tc>
        <w:tc>
          <w:tcPr>
            <w:tcW w:type="dxa" w:w="2621"/>
            <w:shd w:fill="1F6F3F" w:val="clear"/>
            <w:tcMar>
              <w:top w:type="dxa" w:w="105"/>
              <w:left w:type="dxa" w:w="125"/>
              <w:bottom w:type="dxa" w:w="105"/>
              <w:right w:type="dxa" w:w="125"/>
            </w:tcMar>
            <w:vAlign w:val="center"/>
          </w:tcPr>
          <w:p>
            <w:pPr>
              <w:spacing w:after="50" w:line="248"/>
            </w:pPr>
            <w:r>
              <w:rPr>
                <w:b/>
                <w:bCs/>
                <w:color w:val="FFFFFF"/>
                <w:sz w:val="19"/>
                <w:szCs w:val="19"/>
              </w:rPr>
              <w:t xml:space="preserve">Qué ocurre</w:t>
            </w:r>
          </w:p>
        </w:tc>
        <w:tc>
          <w:tcPr>
            <w:tcW w:type="dxa" w:w="5429"/>
            <w:shd w:fill="1F6F3F" w:val="clear"/>
            <w:tcMar>
              <w:top w:type="dxa" w:w="105"/>
              <w:left w:type="dxa" w:w="125"/>
              <w:bottom w:type="dxa" w:w="105"/>
              <w:right w:type="dxa" w:w="125"/>
            </w:tcMar>
            <w:vAlign w:val="center"/>
          </w:tcPr>
          <w:p>
            <w:pPr>
              <w:spacing w:after="50" w:line="248"/>
            </w:pPr>
            <w:r>
              <w:rPr>
                <w:b/>
                <w:bCs/>
                <w:color w:val="FFFFFF"/>
                <w:sz w:val="19"/>
                <w:szCs w:val="19"/>
              </w:rPr>
              <w:t xml:space="preserve">Detalle de implementación</w:t>
            </w:r>
          </w:p>
        </w:tc>
      </w:tr>
      <w:tr>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t = 0 s</w:t>
            </w:r>
          </w:p>
        </w:tc>
        <w:tc>
          <w:tcPr>
            <w:tcW w:type="dxa" w:w="2621"/>
            <w:tcMar>
              <w:top w:type="dxa" w:w="105"/>
              <w:left w:type="dxa" w:w="125"/>
              <w:bottom w:type="dxa" w:w="105"/>
              <w:right w:type="dxa" w:w="125"/>
            </w:tcMar>
            <w:vAlign w:val="center"/>
          </w:tcPr>
          <w:p>
            <w:pPr>
              <w:spacing w:after="50" w:line="248"/>
            </w:pPr>
            <w:r>
              <w:rPr>
                <w:b w:val="false"/>
                <w:bCs w:val="false"/>
                <w:color w:val="23302A"/>
                <w:sz w:val="19"/>
                <w:szCs w:val="19"/>
              </w:rPr>
              <w:t xml:space="preserve">Pantalla de contención</w:t>
            </w:r>
          </w:p>
        </w:tc>
        <w:tc>
          <w:tcPr>
            <w:tcW w:type="dxa" w:w="5429"/>
            <w:tcMar>
              <w:top w:type="dxa" w:w="105"/>
              <w:left w:type="dxa" w:w="125"/>
              <w:bottom w:type="dxa" w:w="105"/>
              <w:right w:type="dxa" w:w="125"/>
            </w:tcMar>
            <w:vAlign w:val="center"/>
          </w:tcPr>
          <w:p>
            <w:pPr>
              <w:spacing w:after="50" w:line="248"/>
            </w:pPr>
            <w:r>
              <w:rPr>
                <w:b w:val="false"/>
                <w:bCs w:val="false"/>
                <w:color w:val="23302A"/>
                <w:sz w:val="19"/>
                <w:szCs w:val="19"/>
              </w:rPr>
              <w:t xml:space="preserve">Sin cierre pasivo: no hay una equis que solo descarta. Nunca se muestra la palabra Rojo, ni un puntaje, ni una etiqueta. Se acompaña, no se etiqueta</w:t>
            </w:r>
          </w:p>
        </w:tc>
      </w:tr>
      <w:tr>
        <w:tc>
          <w:tcPr>
            <w:tcW w:type="dxa" w:w="131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t = 0 s</w:t>
            </w:r>
          </w:p>
        </w:tc>
        <w:tc>
          <w:tcPr>
            <w:tcW w:type="dxa" w:w="2621"/>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Cuatro acciones</w:t>
            </w:r>
          </w:p>
        </w:tc>
        <w:tc>
          <w:tcPr>
            <w:tcW w:type="dxa" w:w="542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Llamar a línea de crisis 24/7 · Llamar a contacto de emergencia registrado · Ver recursos inmediatos · Ya estoy con alguien. Las cuatro registran evento</w:t>
            </w:r>
          </w:p>
        </w:tc>
      </w:tr>
      <w:tr>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t &lt; 30 s</w:t>
            </w:r>
          </w:p>
        </w:tc>
        <w:tc>
          <w:tcPr>
            <w:tcW w:type="dxa" w:w="2621"/>
            <w:tcMar>
              <w:top w:type="dxa" w:w="105"/>
              <w:left w:type="dxa" w:w="125"/>
              <w:bottom w:type="dxa" w:w="105"/>
              <w:right w:type="dxa" w:w="125"/>
            </w:tcMar>
            <w:vAlign w:val="center"/>
          </w:tcPr>
          <w:p>
            <w:pPr>
              <w:spacing w:after="50" w:line="248"/>
            </w:pPr>
            <w:r>
              <w:rPr>
                <w:b w:val="false"/>
                <w:bCs w:val="false"/>
                <w:color w:val="23302A"/>
                <w:sz w:val="19"/>
                <w:szCs w:val="19"/>
              </w:rPr>
              <w:t xml:space="preserve">Alerta simultánea</w:t>
            </w:r>
          </w:p>
        </w:tc>
        <w:tc>
          <w:tcPr>
            <w:tcW w:type="dxa" w:w="5429"/>
            <w:tcMar>
              <w:top w:type="dxa" w:w="105"/>
              <w:left w:type="dxa" w:w="125"/>
              <w:bottom w:type="dxa" w:w="105"/>
              <w:right w:type="dxa" w:w="125"/>
            </w:tcMar>
            <w:vAlign w:val="center"/>
          </w:tcPr>
          <w:p>
            <w:pPr>
              <w:spacing w:after="50" w:line="248"/>
            </w:pPr>
            <w:r>
              <w:rPr>
                <w:b w:val="false"/>
                <w:bCs w:val="false"/>
                <w:color w:val="23302A"/>
                <w:sz w:val="19"/>
                <w:szCs w:val="19"/>
              </w:rPr>
              <w:t xml:space="preserve">Notificación al profesional de guardia en el instante en que se marca la pregunta 5, no al terminar el cuestionario</w:t>
            </w:r>
          </w:p>
        </w:tc>
      </w:tr>
      <w:tr>
        <w:tc>
          <w:tcPr>
            <w:tcW w:type="dxa" w:w="131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t &lt; 5 min</w:t>
            </w:r>
          </w:p>
        </w:tc>
        <w:tc>
          <w:tcPr>
            <w:tcW w:type="dxa" w:w="2621"/>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Contacto humano</w:t>
            </w:r>
          </w:p>
        </w:tc>
        <w:tc>
          <w:tcPr>
            <w:tcW w:type="dxa" w:w="542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El profesional llama. Este compromiso va por escrito en el contrato con la empresa: es la promesa de servicio del producto</w:t>
            </w:r>
          </w:p>
        </w:tc>
      </w:tr>
      <w:tr>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Mientras espera</w:t>
            </w:r>
          </w:p>
        </w:tc>
        <w:tc>
          <w:tcPr>
            <w:tcW w:type="dxa" w:w="2621"/>
            <w:tcMar>
              <w:top w:type="dxa" w:w="105"/>
              <w:left w:type="dxa" w:w="125"/>
              <w:bottom w:type="dxa" w:w="105"/>
              <w:right w:type="dxa" w:w="125"/>
            </w:tcMar>
            <w:vAlign w:val="center"/>
          </w:tcPr>
          <w:p>
            <w:pPr>
              <w:spacing w:after="50" w:line="248"/>
            </w:pPr>
            <w:r>
              <w:rPr>
                <w:b w:val="false"/>
                <w:bCs w:val="false"/>
                <w:color w:val="23302A"/>
                <w:sz w:val="19"/>
                <w:szCs w:val="19"/>
              </w:rPr>
              <w:t xml:space="preserve">Plan de seguridad</w:t>
            </w:r>
          </w:p>
        </w:tc>
        <w:tc>
          <w:tcPr>
            <w:tcW w:type="dxa" w:w="5429"/>
            <w:tcMar>
              <w:top w:type="dxa" w:w="105"/>
              <w:left w:type="dxa" w:w="125"/>
              <w:bottom w:type="dxa" w:w="105"/>
              <w:right w:type="dxa" w:w="125"/>
            </w:tcMar>
            <w:vAlign w:val="center"/>
          </w:tcPr>
          <w:p>
            <w:pPr>
              <w:spacing w:after="50" w:line="248"/>
            </w:pPr>
            <w:r>
              <w:rPr>
                <w:b w:val="false"/>
                <w:bCs w:val="false"/>
                <w:color w:val="23302A"/>
                <w:sz w:val="19"/>
                <w:szCs w:val="19"/>
              </w:rPr>
              <w:t xml:space="preserve">La pantalla acompaña: quién está cerca, a dónde puede ir, qué le ha ayudado antes, y la invitación a alejarse de medios de riesgo entregándolos a alguien de confianza</w:t>
            </w:r>
          </w:p>
        </w:tc>
      </w:tr>
      <w:tr>
        <w:tc>
          <w:tcPr>
            <w:tcW w:type="dxa" w:w="131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Si cierra sin ayuda</w:t>
            </w:r>
          </w:p>
        </w:tc>
        <w:tc>
          <w:tcPr>
            <w:tcW w:type="dxa" w:w="2621"/>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Salida sin contacto</w:t>
            </w:r>
          </w:p>
        </w:tc>
        <w:tc>
          <w:tcPr>
            <w:tcW w:type="dxa" w:w="542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Se registra como evento y escala: llamada del profesional y, sin respuesta, contacto con la persona de emergencia conforme al consentimiento firmado</w:t>
            </w:r>
          </w:p>
        </w:tc>
      </w:tr>
      <w:tr>
        <w:tc>
          <w:tcPr>
            <w:tcW w:type="dxa" w:w="1310"/>
            <w:tcMar>
              <w:top w:type="dxa" w:w="105"/>
              <w:left w:type="dxa" w:w="125"/>
              <w:bottom w:type="dxa" w:w="105"/>
              <w:right w:type="dxa" w:w="125"/>
            </w:tcMar>
            <w:vAlign w:val="center"/>
          </w:tcPr>
          <w:p>
            <w:pPr>
              <w:spacing w:after="50" w:line="248"/>
            </w:pPr>
            <w:r>
              <w:rPr>
                <w:b w:val="false"/>
                <w:bCs w:val="false"/>
                <w:color w:val="23302A"/>
                <w:sz w:val="19"/>
                <w:szCs w:val="19"/>
              </w:rPr>
              <w:t xml:space="preserve">Cierre del caso</w:t>
            </w:r>
          </w:p>
        </w:tc>
        <w:tc>
          <w:tcPr>
            <w:tcW w:type="dxa" w:w="2621"/>
            <w:tcMar>
              <w:top w:type="dxa" w:w="105"/>
              <w:left w:type="dxa" w:w="125"/>
              <w:bottom w:type="dxa" w:w="105"/>
              <w:right w:type="dxa" w:w="125"/>
            </w:tcMar>
            <w:vAlign w:val="center"/>
          </w:tcPr>
          <w:p>
            <w:pPr>
              <w:spacing w:after="50" w:line="248"/>
            </w:pPr>
            <w:r>
              <w:rPr>
                <w:b w:val="false"/>
                <w:bCs w:val="false"/>
                <w:color w:val="23302A"/>
                <w:sz w:val="19"/>
                <w:szCs w:val="19"/>
              </w:rPr>
              <w:t xml:space="preserve">Solo con contacto verificado</w:t>
            </w:r>
          </w:p>
        </w:tc>
        <w:tc>
          <w:tcPr>
            <w:tcW w:type="dxa" w:w="5429"/>
            <w:tcMar>
              <w:top w:type="dxa" w:w="105"/>
              <w:left w:type="dxa" w:w="125"/>
              <w:bottom w:type="dxa" w:w="105"/>
              <w:right w:type="dxa" w:w="125"/>
            </w:tcMar>
            <w:vAlign w:val="center"/>
          </w:tcPr>
          <w:p>
            <w:pPr>
              <w:spacing w:after="50" w:line="248"/>
            </w:pPr>
            <w:r>
              <w:rPr>
                <w:b w:val="false"/>
                <w:bCs w:val="false"/>
                <w:color w:val="23302A"/>
                <w:sz w:val="19"/>
                <w:szCs w:val="19"/>
              </w:rPr>
              <w:t xml:space="preserve">Un caso Rojo nunca se cierra porque bajó el puntaje ni porque pasó el tiempo. Se cierra cuando hay contacto humano registrado</w:t>
            </w:r>
          </w:p>
        </w:tc>
      </w:tr>
    </w:tbl>
    <w:p>
      <w:pPr>
        <w:spacing w:after="245" w:before="105"/>
      </w:pPr>
      <w:r>
        <w:rPr>
          <w:i/>
          <w:iCs/>
          <w:color w:val="6B7280"/>
          <w:sz w:val="18"/>
          <w:szCs w:val="18"/>
        </w:rPr>
        <w:t xml:space="preserve">Tabla 7. Protocolo de Rojo agudo. La variante no aguda usa la misma secuencia con contacto el mismo día en lugar de cinco minutos.</w:t>
      </w:r>
    </w:p>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8EC" w:val="clear"/>
            <w:tcMar>
              <w:top w:type="dxa" w:w="175"/>
              <w:left w:type="dxa" w:w="205"/>
              <w:bottom w:type="dxa" w:w="175"/>
              <w:right w:type="dxa" w:w="205"/>
            </w:tcMar>
          </w:tcPr>
          <w:p>
            <w:pPr>
              <w:spacing w:after="95"/>
            </w:pPr>
            <w:r>
              <w:rPr>
                <w:b/>
                <w:bCs/>
                <w:color w:val="9A6B00"/>
                <w:sz w:val="21"/>
                <w:szCs w:val="21"/>
              </w:rPr>
              <w:t xml:space="preserve">Distinción por contexto de uso</w:t>
            </w:r>
          </w:p>
          <w:p>
            <w:pPr>
              <w:spacing w:after="78" w:line="256"/>
            </w:pPr>
            <w:r>
              <w:rPr>
                <w:sz w:val="20"/>
                <w:szCs w:val="20"/>
              </w:rPr>
              <w:t xml:space="preserve">Colaborador en sitio y en horario laboral: además de lo anterior, la empresa puede movilizar a la persona designada en el protocolo para acompañar físicamente, conforme a lo previsto en el consentimiento.</w:t>
            </w:r>
          </w:p>
          <w:p>
            <w:pPr>
              <w:spacing w:after="78" w:line="256"/>
            </w:pPr>
            <w:r>
              <w:rPr>
                <w:sz w:val="20"/>
                <w:szCs w:val="20"/>
              </w:rPr>
              <w:t xml:space="preserve">Usuario remoto o fuera de horario: la ruta es la línea de crisis de 24 horas más el contacto de emergencia registrado. Por eso los dos contactos son obligatorios al registro y editables en cualquier momento.</w:t>
            </w:r>
          </w:p>
          <w:p>
            <w:pPr>
              <w:spacing w:after="78" w:line="256"/>
            </w:pPr>
            <w:r>
              <w:rPr>
                <w:sz w:val="20"/>
                <w:szCs w:val="20"/>
              </w:rPr>
              <w:t xml:space="preserve">Ninguna de estas rutas se activa automáticamente sin acción del usuario, salvo el supuesto de riesgo inminente, que debe estar descrito de forma expresa en el consentimiento firmado.</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0EF" w:val="clear"/>
            <w:tcMar>
              <w:top w:type="dxa" w:w="175"/>
              <w:left w:type="dxa" w:w="205"/>
              <w:bottom w:type="dxa" w:w="175"/>
              <w:right w:type="dxa" w:w="205"/>
            </w:tcMar>
          </w:tcPr>
          <w:p>
            <w:pPr>
              <w:spacing w:after="95"/>
            </w:pPr>
            <w:r>
              <w:rPr>
                <w:b/>
                <w:bCs/>
                <w:color w:val="B22222"/>
                <w:sz w:val="21"/>
                <w:szCs w:val="21"/>
              </w:rPr>
              <w:t xml:space="preserve">Requisito de liberación</w:t>
            </w:r>
          </w:p>
          <w:p>
            <w:pPr>
              <w:spacing w:after="78" w:line="256"/>
            </w:pPr>
            <w:r>
              <w:rPr>
                <w:sz w:val="20"/>
                <w:szCs w:val="20"/>
              </w:rPr>
              <w:t xml:space="preserve">Este protocolo es el único componente del sistema que no debe liberarse sin aprobación por escrito del asesor clínico: textos de pantalla, redacción del plan de seguridad, y criterios de escalada.</w:t>
            </w:r>
          </w:p>
          <w:p>
            <w:pPr>
              <w:spacing w:after="78" w:line="256"/>
            </w:pPr>
            <w:r>
              <w:rPr>
                <w:sz w:val="20"/>
                <w:szCs w:val="20"/>
              </w:rPr>
              <w:t xml:space="preserve">El ASQ fue validado para aplicación presencial. Su uso a distancia es una adaptación legítima, pero es una adaptación: el equipo debe declararla como tal en la documentación en lugar de presentarla como uso estándar.</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5</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Niveles y acciones del sistema</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57"/>
        <w:gridCol w:w="4399"/>
      </w:tblGrid>
      <w:tr>
        <w:trPr>
          <w:tblHeader/>
        </w:trPr>
        <w:tc>
          <w:tcPr>
            <w:tcW w:type="dxa" w:w="1404"/>
            <w:shd w:fill="1F6F3F" w:val="clear"/>
            <w:tcMar>
              <w:top w:type="dxa" w:w="105"/>
              <w:left w:type="dxa" w:w="125"/>
              <w:bottom w:type="dxa" w:w="105"/>
              <w:right w:type="dxa" w:w="125"/>
            </w:tcMar>
            <w:vAlign w:val="center"/>
          </w:tcPr>
          <w:p>
            <w:pPr>
              <w:spacing w:after="50" w:line="248"/>
            </w:pPr>
            <w:r>
              <w:rPr>
                <w:b/>
                <w:bCs/>
                <w:color w:val="FFFFFF"/>
                <w:sz w:val="19"/>
                <w:szCs w:val="19"/>
              </w:rPr>
              <w:t xml:space="preserve">Nivel</w:t>
            </w:r>
          </w:p>
        </w:tc>
        <w:tc>
          <w:tcPr>
            <w:tcW w:type="dxa" w:w="3557"/>
            <w:shd w:fill="1F6F3F" w:val="clear"/>
            <w:tcMar>
              <w:top w:type="dxa" w:w="105"/>
              <w:left w:type="dxa" w:w="125"/>
              <w:bottom w:type="dxa" w:w="105"/>
              <w:right w:type="dxa" w:w="125"/>
            </w:tcMar>
            <w:vAlign w:val="center"/>
          </w:tcPr>
          <w:p>
            <w:pPr>
              <w:spacing w:after="50" w:line="248"/>
            </w:pPr>
            <w:r>
              <w:rPr>
                <w:b/>
                <w:bCs/>
                <w:color w:val="FFFFFF"/>
                <w:sz w:val="19"/>
                <w:szCs w:val="19"/>
              </w:rPr>
              <w:t xml:space="preserve">Criterio</w:t>
            </w:r>
          </w:p>
        </w:tc>
        <w:tc>
          <w:tcPr>
            <w:tcW w:type="dxa" w:w="4399"/>
            <w:shd w:fill="1F6F3F" w:val="clear"/>
            <w:tcMar>
              <w:top w:type="dxa" w:w="105"/>
              <w:left w:type="dxa" w:w="125"/>
              <w:bottom w:type="dxa" w:w="105"/>
              <w:right w:type="dxa" w:w="125"/>
            </w:tcMar>
            <w:vAlign w:val="center"/>
          </w:tcPr>
          <w:p>
            <w:pPr>
              <w:spacing w:after="50" w:line="248"/>
            </w:pPr>
            <w:r>
              <w:rPr>
                <w:b/>
                <w:bCs/>
                <w:color w:val="FFFFFF"/>
                <w:sz w:val="19"/>
                <w:szCs w:val="19"/>
              </w:rPr>
              <w:t xml:space="preserve">Qué ejecuta el sistema</w:t>
            </w:r>
          </w:p>
        </w:tc>
      </w:tr>
      <w:tr>
        <w:tc>
          <w:tcPr>
            <w:tcW w:type="dxa" w:w="1404"/>
            <w:shd w:fill="EAF5EC" w:val="clear"/>
            <w:tcMar>
              <w:top w:type="dxa" w:w="105"/>
              <w:left w:type="dxa" w:w="125"/>
              <w:bottom w:type="dxa" w:w="105"/>
              <w:right w:type="dxa" w:w="125"/>
            </w:tcMar>
            <w:vAlign w:val="center"/>
          </w:tcPr>
          <w:p>
            <w:pPr>
              <w:spacing w:after="50" w:line="248"/>
            </w:pPr>
            <w:r>
              <w:rPr>
                <w:b/>
                <w:bCs/>
                <w:color w:val="23302A"/>
                <w:sz w:val="19"/>
                <w:szCs w:val="19"/>
              </w:rPr>
              <w:t xml:space="preserve">VERDE</w:t>
            </w:r>
          </w:p>
        </w:tc>
        <w:tc>
          <w:tcPr>
            <w:tcW w:type="dxa" w:w="3557"/>
            <w:shd w:fill="EAF5EC" w:val="clear"/>
            <w:tcMar>
              <w:top w:type="dxa" w:w="105"/>
              <w:left w:type="dxa" w:w="125"/>
              <w:bottom w:type="dxa" w:w="105"/>
              <w:right w:type="dxa" w:w="125"/>
            </w:tcMar>
            <w:vAlign w:val="center"/>
          </w:tcPr>
          <w:p>
            <w:pPr>
              <w:spacing w:after="50" w:line="248"/>
            </w:pPr>
            <w:r>
              <w:rPr>
                <w:b w:val="false"/>
                <w:bCs w:val="false"/>
                <w:color w:val="23302A"/>
                <w:sz w:val="19"/>
                <w:szCs w:val="19"/>
              </w:rPr>
              <w:t xml:space="preserve">WHO-5 crudo ≥ 13, sin ítems en 0-1, sin señal de vigilancia y sin banderas</w:t>
            </w:r>
          </w:p>
        </w:tc>
        <w:tc>
          <w:tcPr>
            <w:tcW w:type="dxa" w:w="4399"/>
            <w:shd w:fill="EAF5EC" w:val="clear"/>
            <w:tcMar>
              <w:top w:type="dxa" w:w="105"/>
              <w:left w:type="dxa" w:w="125"/>
              <w:bottom w:type="dxa" w:w="105"/>
              <w:right w:type="dxa" w:w="125"/>
            </w:tcMar>
            <w:vAlign w:val="center"/>
          </w:tcPr>
          <w:p>
            <w:pPr>
              <w:spacing w:after="50" w:line="248"/>
            </w:pPr>
            <w:r>
              <w:rPr>
                <w:b w:val="false"/>
                <w:bCs w:val="false"/>
                <w:color w:val="23302A"/>
                <w:sz w:val="19"/>
                <w:szCs w:val="19"/>
              </w:rPr>
              <w:t xml:space="preserve">Contenido de consejos. Vigilancia diaria activa. Programar WHO-5 a 14 días</w:t>
            </w:r>
          </w:p>
        </w:tc>
      </w:tr>
      <w:tr>
        <w:tc>
          <w:tcPr>
            <w:tcW w:type="dxa" w:w="1404"/>
            <w:shd w:fill="FCF6E3" w:val="clear"/>
            <w:tcMar>
              <w:top w:type="dxa" w:w="105"/>
              <w:left w:type="dxa" w:w="125"/>
              <w:bottom w:type="dxa" w:w="105"/>
              <w:right w:type="dxa" w:w="125"/>
            </w:tcMar>
            <w:vAlign w:val="center"/>
          </w:tcPr>
          <w:p>
            <w:pPr>
              <w:spacing w:after="50" w:line="248"/>
            </w:pPr>
            <w:r>
              <w:rPr>
                <w:b/>
                <w:bCs/>
                <w:color w:val="23302A"/>
                <w:sz w:val="19"/>
                <w:szCs w:val="19"/>
              </w:rPr>
              <w:t xml:space="preserve">AMARILLO</w:t>
            </w:r>
          </w:p>
        </w:tc>
        <w:tc>
          <w:tcPr>
            <w:tcW w:type="dxa" w:w="3557"/>
            <w:shd w:fill="FCF6E3" w:val="clear"/>
            <w:tcMar>
              <w:top w:type="dxa" w:w="105"/>
              <w:left w:type="dxa" w:w="125"/>
              <w:bottom w:type="dxa" w:w="105"/>
              <w:right w:type="dxa" w:w="125"/>
            </w:tcMar>
            <w:vAlign w:val="center"/>
          </w:tcPr>
          <w:p>
            <w:pPr>
              <w:spacing w:after="50" w:line="248"/>
            </w:pPr>
            <w:r>
              <w:rPr>
                <w:b w:val="false"/>
                <w:bCs w:val="false"/>
                <w:color w:val="23302A"/>
                <w:sz w:val="19"/>
                <w:szCs w:val="19"/>
              </w:rPr>
              <w:t xml:space="preserve">WHO-5 crudo ≤ 12, o ítem en 0-1, o caída ≥ 10 puntos, o cualquier regla de vigilancia activa</w:t>
            </w:r>
          </w:p>
        </w:tc>
        <w:tc>
          <w:tcPr>
            <w:tcW w:type="dxa" w:w="4399"/>
            <w:shd w:fill="FCF6E3" w:val="clear"/>
            <w:tcMar>
              <w:top w:type="dxa" w:w="105"/>
              <w:left w:type="dxa" w:w="125"/>
              <w:bottom w:type="dxa" w:w="105"/>
              <w:right w:type="dxa" w:w="125"/>
            </w:tcMar>
            <w:vAlign w:val="center"/>
          </w:tcPr>
          <w:p>
            <w:pPr>
              <w:spacing w:after="50" w:line="248"/>
            </w:pPr>
            <w:r>
              <w:rPr>
                <w:b w:val="false"/>
                <w:bCs w:val="false"/>
                <w:color w:val="23302A"/>
                <w:sz w:val="19"/>
                <w:szCs w:val="19"/>
              </w:rPr>
              <w:t xml:space="preserve">ABRIR EL MDI. Si el MDI resulta &lt; 20 se mantiene Amarillo con recursos dirigidos y frecuencia de registro elevada</w:t>
            </w:r>
          </w:p>
        </w:tc>
      </w:tr>
      <w:tr>
        <w:tc>
          <w:tcPr>
            <w:tcW w:type="dxa" w:w="1404"/>
            <w:shd w:fill="FBEDE0" w:val="clear"/>
            <w:tcMar>
              <w:top w:type="dxa" w:w="105"/>
              <w:left w:type="dxa" w:w="125"/>
              <w:bottom w:type="dxa" w:w="105"/>
              <w:right w:type="dxa" w:w="125"/>
            </w:tcMar>
            <w:vAlign w:val="center"/>
          </w:tcPr>
          <w:p>
            <w:pPr>
              <w:spacing w:after="50" w:line="248"/>
            </w:pPr>
            <w:r>
              <w:rPr>
                <w:b/>
                <w:bCs/>
                <w:color w:val="23302A"/>
                <w:sz w:val="19"/>
                <w:szCs w:val="19"/>
              </w:rPr>
              <w:t xml:space="preserve">NARANJA</w:t>
            </w:r>
          </w:p>
        </w:tc>
        <w:tc>
          <w:tcPr>
            <w:tcW w:type="dxa" w:w="3557"/>
            <w:shd w:fill="FBEDE0" w:val="clear"/>
            <w:tcMar>
              <w:top w:type="dxa" w:w="105"/>
              <w:left w:type="dxa" w:w="125"/>
              <w:bottom w:type="dxa" w:w="105"/>
              <w:right w:type="dxa" w:w="125"/>
            </w:tcMar>
            <w:vAlign w:val="center"/>
          </w:tcPr>
          <w:p>
            <w:pPr>
              <w:spacing w:after="50" w:line="248"/>
            </w:pPr>
            <w:r>
              <w:rPr>
                <w:b w:val="false"/>
                <w:bCs w:val="false"/>
                <w:color w:val="23302A"/>
                <w:sz w:val="19"/>
                <w:szCs w:val="19"/>
              </w:rPr>
              <w:t xml:space="preserve">MDI 20 a 29, o Puchol &gt; 40 en dos o más dimensiones</w:t>
            </w:r>
          </w:p>
        </w:tc>
        <w:tc>
          <w:tcPr>
            <w:tcW w:type="dxa" w:w="4399"/>
            <w:shd w:fill="FBEDE0" w:val="clear"/>
            <w:tcMar>
              <w:top w:type="dxa" w:w="105"/>
              <w:left w:type="dxa" w:w="125"/>
              <w:bottom w:type="dxa" w:w="105"/>
              <w:right w:type="dxa" w:w="125"/>
            </w:tcMar>
            <w:vAlign w:val="center"/>
          </w:tcPr>
          <w:p>
            <w:pPr>
              <w:spacing w:after="50" w:line="248"/>
            </w:pPr>
            <w:r>
              <w:rPr>
                <w:b w:val="false"/>
                <w:bCs w:val="false"/>
                <w:color w:val="23302A"/>
                <w:sz w:val="19"/>
                <w:szCs w:val="19"/>
              </w:rPr>
              <w:t xml:space="preserve">Notificar al plano clínico. Ofrecer agenda de cita. Registrar en la cola priorizada</w:t>
            </w:r>
          </w:p>
        </w:tc>
      </w:tr>
      <w:tr>
        <w:tc>
          <w:tcPr>
            <w:tcW w:type="dxa" w:w="1404"/>
            <w:shd w:fill="FBE7E5" w:val="clear"/>
            <w:tcMar>
              <w:top w:type="dxa" w:w="105"/>
              <w:left w:type="dxa" w:w="125"/>
              <w:bottom w:type="dxa" w:w="105"/>
              <w:right w:type="dxa" w:w="125"/>
            </w:tcMar>
            <w:vAlign w:val="center"/>
          </w:tcPr>
          <w:p>
            <w:pPr>
              <w:spacing w:after="50" w:line="248"/>
            </w:pPr>
            <w:r>
              <w:rPr>
                <w:b/>
                <w:bCs/>
                <w:color w:val="23302A"/>
                <w:sz w:val="19"/>
                <w:szCs w:val="19"/>
              </w:rPr>
              <w:t xml:space="preserve">ROJO</w:t>
            </w:r>
          </w:p>
        </w:tc>
        <w:tc>
          <w:tcPr>
            <w:tcW w:type="dxa" w:w="3557"/>
            <w:shd w:fill="FBE7E5" w:val="clear"/>
            <w:tcMar>
              <w:top w:type="dxa" w:w="105"/>
              <w:left w:type="dxa" w:w="125"/>
              <w:bottom w:type="dxa" w:w="105"/>
              <w:right w:type="dxa" w:w="125"/>
            </w:tcMar>
            <w:vAlign w:val="center"/>
          </w:tcPr>
          <w:p>
            <w:pPr>
              <w:spacing w:after="50" w:line="248"/>
            </w:pPr>
            <w:r>
              <w:rPr>
                <w:b w:val="false"/>
                <w:bCs w:val="false"/>
                <w:color w:val="23302A"/>
                <w:sz w:val="19"/>
                <w:szCs w:val="19"/>
              </w:rPr>
              <w:t xml:space="preserve">MDI ≥ 30, o ítem 6 ≥ 4, o ASQ positivo no agudo, o botón de ayuda</w:t>
            </w:r>
          </w:p>
        </w:tc>
        <w:tc>
          <w:tcPr>
            <w:tcW w:type="dxa" w:w="4399"/>
            <w:shd w:fill="FBE7E5" w:val="clear"/>
            <w:tcMar>
              <w:top w:type="dxa" w:w="105"/>
              <w:left w:type="dxa" w:w="125"/>
              <w:bottom w:type="dxa" w:w="105"/>
              <w:right w:type="dxa" w:w="125"/>
            </w:tcMar>
            <w:vAlign w:val="center"/>
          </w:tcPr>
          <w:p>
            <w:pPr>
              <w:spacing w:after="50" w:line="248"/>
            </w:pPr>
            <w:r>
              <w:rPr>
                <w:b w:val="false"/>
                <w:bCs w:val="false"/>
                <w:color w:val="23302A"/>
                <w:sz w:val="19"/>
                <w:szCs w:val="19"/>
              </w:rPr>
              <w:t xml:space="preserve">Pantalla de contención, alerta al plano clínico, contacto humano el mismo día</w:t>
            </w:r>
          </w:p>
        </w:tc>
      </w:tr>
      <w:tr>
        <w:tc>
          <w:tcPr>
            <w:tcW w:type="dxa" w:w="1404"/>
            <w:shd w:fill="F7D6D2" w:val="clear"/>
            <w:tcMar>
              <w:top w:type="dxa" w:w="105"/>
              <w:left w:type="dxa" w:w="125"/>
              <w:bottom w:type="dxa" w:w="105"/>
              <w:right w:type="dxa" w:w="125"/>
            </w:tcMar>
            <w:vAlign w:val="center"/>
          </w:tcPr>
          <w:p>
            <w:pPr>
              <w:spacing w:after="50" w:line="248"/>
            </w:pPr>
            <w:r>
              <w:rPr>
                <w:b/>
                <w:bCs/>
                <w:color w:val="23302A"/>
                <w:sz w:val="19"/>
                <w:szCs w:val="19"/>
              </w:rPr>
              <w:t xml:space="preserve">ROJO AGUDO</w:t>
            </w:r>
          </w:p>
        </w:tc>
        <w:tc>
          <w:tcPr>
            <w:tcW w:type="dxa" w:w="3557"/>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ASQ positivo agudo: pregunta 5 afirmativa o sin contestar</w:t>
            </w:r>
          </w:p>
        </w:tc>
        <w:tc>
          <w:tcPr>
            <w:tcW w:type="dxa" w:w="4399"/>
            <w:shd w:fill="F7D6D2" w:val="clear"/>
            <w:tcMar>
              <w:top w:type="dxa" w:w="105"/>
              <w:left w:type="dxa" w:w="125"/>
              <w:bottom w:type="dxa" w:w="105"/>
              <w:right w:type="dxa" w:w="125"/>
            </w:tcMar>
            <w:vAlign w:val="center"/>
          </w:tcPr>
          <w:p>
            <w:pPr>
              <w:spacing w:after="50" w:line="248"/>
            </w:pPr>
            <w:r>
              <w:rPr>
                <w:b w:val="false"/>
                <w:bCs w:val="false"/>
                <w:color w:val="23302A"/>
                <w:sz w:val="19"/>
                <w:szCs w:val="19"/>
              </w:rPr>
              <w:t xml:space="preserve">Protocolo de la sección 4b. Contacto en menos de cinco minutos</w:t>
            </w:r>
          </w:p>
        </w:tc>
      </w:tr>
    </w:tbl>
    <w:p>
      <w:pPr>
        <w:spacing w:after="245" w:before="105"/>
      </w:pPr>
      <w:r>
        <w:rPr>
          <w:i/>
          <w:iCs/>
          <w:color w:val="6B7280"/>
          <w:sz w:val="18"/>
          <w:szCs w:val="18"/>
        </w:rPr>
        <w:t xml:space="preserve">Tabla 8. Comportamiento del sistema por nivel.</w:t>
      </w:r>
    </w:p>
    <w:p>
      <w:pPr>
        <w:spacing w:after="140" w:before="280"/>
      </w:pPr>
      <w:r>
        <w:rPr>
          <w:b/>
          <w:bCs/>
          <w:color w:val="1F6F3F"/>
          <w:spacing w:val="20"/>
          <w:sz w:val="18"/>
          <w:szCs w:val="18"/>
        </w:rPr>
        <w:t xml:space="preserve">PANTALLA DE NIVEL ROJO</w:t>
      </w:r>
    </w:p>
    <w:p>
      <w:pPr>
        <w:pStyle w:val="ListParagraph"/>
        <w:numPr>
          <w:ilvl w:val="0"/>
          <w:numId w:val="2"/>
        </w:numPr>
        <w:spacing w:after="85" w:line="256"/>
      </w:pPr>
      <w:r>
        <w:rPr>
          <w:sz w:val="20"/>
          <w:szCs w:val="20"/>
        </w:rPr>
        <w:t xml:space="preserve">Nunca se muestra la palabra «Rojo», ni un puntaje, ni una etiqueta de severidad. Se acompaña, no se etiqueta.</w:t>
      </w:r>
    </w:p>
    <w:p>
      <w:pPr>
        <w:pStyle w:val="ListParagraph"/>
        <w:numPr>
          <w:ilvl w:val="0"/>
          <w:numId w:val="2"/>
        </w:numPr>
        <w:spacing w:after="85" w:line="256"/>
      </w:pPr>
      <w:r>
        <w:rPr>
          <w:sz w:val="20"/>
          <w:szCs w:val="20"/>
        </w:rPr>
        <w:t xml:space="preserve">Tres acciones visibles: llamar a línea de crisis, llamar a contacto de emergencia, ver recursos inmediatos.</w:t>
      </w:r>
    </w:p>
    <w:p>
      <w:pPr>
        <w:pStyle w:val="ListParagraph"/>
        <w:numPr>
          <w:ilvl w:val="0"/>
          <w:numId w:val="2"/>
        </w:numPr>
        <w:spacing w:after="85" w:line="256"/>
      </w:pPr>
      <w:r>
        <w:rPr>
          <w:sz w:val="20"/>
          <w:szCs w:val="20"/>
        </w:rPr>
        <w:t xml:space="preserve">Números que deben estar en configuración del servidor, nunca incrustados en el código: Línea de la Vida 800 911 2000, nacional y 24/7; Línea Amiga Yucatán 800 108 8000, 24/7; emergencias 911.</w:t>
      </w:r>
    </w:p>
    <w:p>
      <w:pPr>
        <w:pStyle w:val="ListParagraph"/>
        <w:numPr>
          <w:ilvl w:val="0"/>
          <w:numId w:val="2"/>
        </w:numPr>
        <w:spacing w:after="85" w:line="256"/>
      </w:pPr>
      <w:r>
        <w:rPr>
          <w:sz w:val="20"/>
          <w:szCs w:val="20"/>
        </w:rPr>
        <w:t xml:space="preserve">El botón de continuar sin ayuda existe, pero es el elemento menos prominente de la pantalla.</w:t>
      </w:r>
    </w:p>
    <w:p>
      <w:pPr>
        <w:pStyle w:val="ListParagraph"/>
        <w:numPr>
          <w:ilvl w:val="0"/>
          <w:numId w:val="2"/>
        </w:numPr>
        <w:spacing w:after="85" w:line="256"/>
      </w:pPr>
      <w:r>
        <w:rPr>
          <w:sz w:val="20"/>
          <w:szCs w:val="20"/>
        </w:rPr>
        <w:t xml:space="preserve">Reverificar la vigencia de los números cada seis meses.</w:t>
      </w:r>
    </w:p>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6</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Ramas específicas y preguntas ancla</w:t>
            </w:r>
          </w:p>
        </w:tc>
      </w:tr>
    </w:tbl>
    <w:p>
      <w:pPr>
        <w:spacing w:after="115"/>
      </w:pPr>
      <w:r>
        <w:t xml:space="preserve"/>
      </w:r>
    </w:p>
    <w:p>
      <w:pPr>
        <w:spacing w:after="175" w:before="0" w:line="274"/>
      </w:pPr>
      <w:r>
        <w:rPr>
          <w:sz w:val="21"/>
          <w:szCs w:val="21"/>
        </w:rPr>
        <w:t xml:space="preserve">El sistema se extiende a otros dominios sin alargar el trayecto base, mediante preguntas ancla: una sola línea que decide si abrir un instrumento completo. Las preguntas ancla se presentan únicamente dentro de la evaluación profunda, nunca en el registro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2434"/>
        <w:gridCol w:w="1872"/>
      </w:tblGrid>
      <w:tr>
        <w:trPr>
          <w:tblHeader/>
        </w:trPr>
        <w:tc>
          <w:tcPr>
            <w:tcW w:type="dxa" w:w="2246"/>
            <w:shd w:fill="1F6F3F" w:val="clear"/>
            <w:tcMar>
              <w:top w:type="dxa" w:w="105"/>
              <w:left w:type="dxa" w:w="125"/>
              <w:bottom w:type="dxa" w:w="105"/>
              <w:right w:type="dxa" w:w="125"/>
            </w:tcMar>
            <w:vAlign w:val="center"/>
          </w:tcPr>
          <w:p>
            <w:pPr>
              <w:spacing w:after="50" w:line="248"/>
            </w:pPr>
            <w:r>
              <w:rPr>
                <w:b/>
                <w:bCs/>
                <w:color w:val="FFFFFF"/>
                <w:sz w:val="19"/>
                <w:szCs w:val="19"/>
              </w:rPr>
              <w:t xml:space="preserve">Rama</w:t>
            </w:r>
          </w:p>
        </w:tc>
        <w:tc>
          <w:tcPr>
            <w:tcW w:type="dxa" w:w="2808"/>
            <w:shd w:fill="1F6F3F" w:val="clear"/>
            <w:tcMar>
              <w:top w:type="dxa" w:w="105"/>
              <w:left w:type="dxa" w:w="125"/>
              <w:bottom w:type="dxa" w:w="105"/>
              <w:right w:type="dxa" w:w="125"/>
            </w:tcMar>
            <w:vAlign w:val="center"/>
          </w:tcPr>
          <w:p>
            <w:pPr>
              <w:spacing w:after="50" w:line="248"/>
            </w:pPr>
            <w:r>
              <w:rPr>
                <w:b/>
                <w:bCs/>
                <w:color w:val="FFFFFF"/>
                <w:sz w:val="19"/>
                <w:szCs w:val="19"/>
              </w:rPr>
              <w:t xml:space="preserve">Disparador</w:t>
            </w:r>
          </w:p>
        </w:tc>
        <w:tc>
          <w:tcPr>
            <w:tcW w:type="dxa" w:w="2434"/>
            <w:shd w:fill="1F6F3F" w:val="clear"/>
            <w:tcMar>
              <w:top w:type="dxa" w:w="105"/>
              <w:left w:type="dxa" w:w="125"/>
              <w:bottom w:type="dxa" w:w="105"/>
              <w:right w:type="dxa" w:w="125"/>
            </w:tcMar>
            <w:vAlign w:val="center"/>
          </w:tcPr>
          <w:p>
            <w:pPr>
              <w:spacing w:after="50" w:line="248"/>
            </w:pPr>
            <w:r>
              <w:rPr>
                <w:b/>
                <w:bCs/>
                <w:color w:val="FFFFFF"/>
                <w:sz w:val="19"/>
                <w:szCs w:val="19"/>
              </w:rPr>
              <w:t xml:space="preserve">Instrumento</w:t>
            </w:r>
          </w:p>
        </w:tc>
        <w:tc>
          <w:tcPr>
            <w:tcW w:type="dxa" w:w="1872"/>
            <w:shd w:fill="1F6F3F" w:val="clear"/>
            <w:tcMar>
              <w:top w:type="dxa" w:w="105"/>
              <w:left w:type="dxa" w:w="125"/>
              <w:bottom w:type="dxa" w:w="105"/>
              <w:right w:type="dxa" w:w="125"/>
            </w:tcMar>
            <w:vAlign w:val="center"/>
          </w:tcPr>
          <w:p>
            <w:pPr>
              <w:spacing w:after="50" w:line="248"/>
            </w:pPr>
            <w:r>
              <w:rPr>
                <w:b/>
                <w:bCs/>
                <w:color w:val="FFFFFF"/>
                <w:sz w:val="19"/>
                <w:szCs w:val="19"/>
              </w:rPr>
              <w:t xml:space="preserve">Estado</w:t>
            </w:r>
          </w:p>
        </w:tc>
      </w:tr>
      <w:tr>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Conducta alimentaria</w:t>
            </w:r>
          </w:p>
        </w:tc>
        <w:tc>
          <w:tcPr>
            <w:tcW w:type="dxa" w:w="2808"/>
            <w:tcMar>
              <w:top w:type="dxa" w:w="105"/>
              <w:left w:type="dxa" w:w="125"/>
              <w:bottom w:type="dxa" w:w="105"/>
              <w:right w:type="dxa" w:w="125"/>
            </w:tcMar>
            <w:vAlign w:val="center"/>
          </w:tcPr>
          <w:p>
            <w:pPr>
              <w:spacing w:after="50" w:line="248"/>
            </w:pPr>
            <w:r>
              <w:rPr>
                <w:b w:val="false"/>
                <w:bCs w:val="false"/>
                <w:color w:val="23302A"/>
                <w:sz w:val="19"/>
                <w:szCs w:val="19"/>
              </w:rPr>
              <w:t xml:space="preserve">MDI ítem 10 alto, o pregunta ancla</w:t>
            </w:r>
          </w:p>
        </w:tc>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SCOFF · 5 ítems</w:t>
            </w:r>
          </w:p>
        </w:tc>
        <w:tc>
          <w:tcPr>
            <w:tcW w:type="dxa" w:w="1872"/>
            <w:tcMar>
              <w:top w:type="dxa" w:w="105"/>
              <w:left w:type="dxa" w:w="125"/>
              <w:bottom w:type="dxa" w:w="105"/>
              <w:right w:type="dxa" w:w="125"/>
            </w:tcMar>
            <w:vAlign w:val="center"/>
          </w:tcPr>
          <w:p>
            <w:pPr>
              <w:spacing w:after="50" w:line="248"/>
            </w:pPr>
            <w:r>
              <w:rPr>
                <w:b w:val="false"/>
                <w:bCs w:val="false"/>
                <w:color w:val="23302A"/>
                <w:sz w:val="19"/>
                <w:szCs w:val="19"/>
              </w:rPr>
              <w:t xml:space="preserve">Prioridad 1</w:t>
            </w:r>
          </w:p>
        </w:tc>
      </w:tr>
      <w:tr>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Estrés</w:t>
            </w:r>
          </w:p>
        </w:tc>
        <w:tc>
          <w:tcPr>
            <w:tcW w:type="dxa" w:w="280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Evaluación organizacional, o ítems 3, 8 y 9 del MDI</w:t>
            </w:r>
          </w:p>
        </w:tc>
        <w:tc>
          <w:tcPr>
            <w:tcW w:type="dxa" w:w="243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Puchol · 60 ítems</w:t>
            </w:r>
          </w:p>
        </w:tc>
        <w:tc>
          <w:tcPr>
            <w:tcW w:type="dxa" w:w="1872"/>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Implementada</w:t>
            </w:r>
          </w:p>
        </w:tc>
      </w:tr>
      <w:tr>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Sueño</w:t>
            </w:r>
          </w:p>
        </w:tc>
        <w:tc>
          <w:tcPr>
            <w:tcW w:type="dxa" w:w="2808"/>
            <w:tcMar>
              <w:top w:type="dxa" w:w="105"/>
              <w:left w:type="dxa" w:w="125"/>
              <w:bottom w:type="dxa" w:w="105"/>
              <w:right w:type="dxa" w:w="125"/>
            </w:tcMar>
            <w:vAlign w:val="center"/>
          </w:tcPr>
          <w:p>
            <w:pPr>
              <w:spacing w:after="50" w:line="248"/>
            </w:pPr>
            <w:r>
              <w:rPr>
                <w:b w:val="false"/>
                <w:bCs w:val="false"/>
                <w:color w:val="23302A"/>
                <w:sz w:val="19"/>
                <w:szCs w:val="19"/>
              </w:rPr>
              <w:t xml:space="preserve">MDI ítem 9 alto</w:t>
            </w:r>
          </w:p>
        </w:tc>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Escala de Atenas · 8 ítems</w:t>
            </w:r>
          </w:p>
        </w:tc>
        <w:tc>
          <w:tcPr>
            <w:tcW w:type="dxa" w:w="1872"/>
            <w:tcMar>
              <w:top w:type="dxa" w:w="105"/>
              <w:left w:type="dxa" w:w="125"/>
              <w:bottom w:type="dxa" w:w="105"/>
              <w:right w:type="dxa" w:w="125"/>
            </w:tcMar>
            <w:vAlign w:val="center"/>
          </w:tcPr>
          <w:p>
            <w:pPr>
              <w:spacing w:after="50" w:line="248"/>
            </w:pPr>
            <w:r>
              <w:rPr>
                <w:b w:val="false"/>
                <w:bCs w:val="false"/>
                <w:color w:val="23302A"/>
                <w:sz w:val="19"/>
                <w:szCs w:val="19"/>
              </w:rPr>
              <w:t xml:space="preserve">Roadmap</w:t>
            </w:r>
          </w:p>
        </w:tc>
      </w:tr>
      <w:tr>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Ansiedad</w:t>
            </w:r>
          </w:p>
        </w:tc>
        <w:tc>
          <w:tcPr>
            <w:tcW w:type="dxa" w:w="280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MDI ítems 7 y 8 altos</w:t>
            </w:r>
          </w:p>
        </w:tc>
        <w:tc>
          <w:tcPr>
            <w:tcW w:type="dxa" w:w="243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GAD-7, o GAD-2 breve</w:t>
            </w:r>
          </w:p>
        </w:tc>
        <w:tc>
          <w:tcPr>
            <w:tcW w:type="dxa" w:w="1872"/>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Roadmap</w:t>
            </w:r>
          </w:p>
        </w:tc>
      </w:tr>
      <w:tr>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Consumo de sustancias</w:t>
            </w:r>
          </w:p>
        </w:tc>
        <w:tc>
          <w:tcPr>
            <w:tcW w:type="dxa" w:w="2808"/>
            <w:tcMar>
              <w:top w:type="dxa" w:w="105"/>
              <w:left w:type="dxa" w:w="125"/>
              <w:bottom w:type="dxa" w:w="105"/>
              <w:right w:type="dxa" w:w="125"/>
            </w:tcMar>
            <w:vAlign w:val="center"/>
          </w:tcPr>
          <w:p>
            <w:pPr>
              <w:spacing w:after="50" w:line="248"/>
            </w:pPr>
            <w:r>
              <w:rPr>
                <w:b w:val="false"/>
                <w:bCs w:val="false"/>
                <w:color w:val="23302A"/>
                <w:sz w:val="19"/>
                <w:szCs w:val="19"/>
              </w:rPr>
              <w:t xml:space="preserve">Pregunta ancla</w:t>
            </w:r>
          </w:p>
        </w:tc>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AUDIT-C · 3 ítems, luego ASSIST</w:t>
            </w:r>
          </w:p>
        </w:tc>
        <w:tc>
          <w:tcPr>
            <w:tcW w:type="dxa" w:w="1872"/>
            <w:tcMar>
              <w:top w:type="dxa" w:w="105"/>
              <w:left w:type="dxa" w:w="125"/>
              <w:bottom w:type="dxa" w:w="105"/>
              <w:right w:type="dxa" w:w="125"/>
            </w:tcMar>
            <w:vAlign w:val="center"/>
          </w:tcPr>
          <w:p>
            <w:pPr>
              <w:spacing w:after="50" w:line="248"/>
            </w:pPr>
            <w:r>
              <w:rPr>
                <w:b w:val="false"/>
                <w:bCs w:val="false"/>
                <w:color w:val="23302A"/>
                <w:sz w:val="19"/>
                <w:szCs w:val="19"/>
              </w:rPr>
              <w:t xml:space="preserve">Roadmap</w:t>
            </w:r>
          </w:p>
        </w:tc>
      </w:tr>
      <w:tr>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Acoso</w:t>
            </w:r>
          </w:p>
        </w:tc>
        <w:tc>
          <w:tcPr>
            <w:tcW w:type="dxa" w:w="2808"/>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Pregunta ancla</w:t>
            </w:r>
          </w:p>
        </w:tc>
        <w:tc>
          <w:tcPr>
            <w:tcW w:type="dxa" w:w="2434"/>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Marcador transversal, no nivel</w:t>
            </w:r>
          </w:p>
        </w:tc>
        <w:tc>
          <w:tcPr>
            <w:tcW w:type="dxa" w:w="1872"/>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Roadmap</w:t>
            </w:r>
          </w:p>
        </w:tc>
      </w:tr>
      <w:tr>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Dismorfia corporal</w:t>
            </w:r>
          </w:p>
        </w:tc>
        <w:tc>
          <w:tcPr>
            <w:tcW w:type="dxa" w:w="2808"/>
            <w:tcMar>
              <w:top w:type="dxa" w:w="105"/>
              <w:left w:type="dxa" w:w="125"/>
              <w:bottom w:type="dxa" w:w="105"/>
              <w:right w:type="dxa" w:w="125"/>
            </w:tcMar>
            <w:vAlign w:val="center"/>
          </w:tcPr>
          <w:p>
            <w:pPr>
              <w:spacing w:after="50" w:line="248"/>
            </w:pPr>
            <w:r>
              <w:rPr>
                <w:b w:val="false"/>
                <w:bCs w:val="false"/>
                <w:color w:val="23302A"/>
                <w:sz w:val="19"/>
                <w:szCs w:val="19"/>
              </w:rPr>
              <w:t xml:space="preserve">Pregunta ancla</w:t>
            </w:r>
          </w:p>
        </w:tc>
        <w:tc>
          <w:tcPr>
            <w:tcW w:type="dxa" w:w="2434"/>
            <w:tcMar>
              <w:top w:type="dxa" w:w="105"/>
              <w:left w:type="dxa" w:w="125"/>
              <w:bottom w:type="dxa" w:w="105"/>
              <w:right w:type="dxa" w:w="125"/>
            </w:tcMar>
            <w:vAlign w:val="center"/>
          </w:tcPr>
          <w:p>
            <w:pPr>
              <w:spacing w:after="50" w:line="248"/>
            </w:pPr>
            <w:r>
              <w:rPr>
                <w:b w:val="false"/>
                <w:bCs w:val="false"/>
                <w:color w:val="23302A"/>
                <w:sz w:val="19"/>
                <w:szCs w:val="19"/>
              </w:rPr>
              <w:t xml:space="preserve">BDDQ · 4 ítems</w:t>
            </w:r>
          </w:p>
        </w:tc>
        <w:tc>
          <w:tcPr>
            <w:tcW w:type="dxa" w:w="1872"/>
            <w:tcMar>
              <w:top w:type="dxa" w:w="105"/>
              <w:left w:type="dxa" w:w="125"/>
              <w:bottom w:type="dxa" w:w="105"/>
              <w:right w:type="dxa" w:w="125"/>
            </w:tcMar>
            <w:vAlign w:val="center"/>
          </w:tcPr>
          <w:p>
            <w:pPr>
              <w:spacing w:after="50" w:line="248"/>
            </w:pPr>
            <w:r>
              <w:rPr>
                <w:b w:val="false"/>
                <w:bCs w:val="false"/>
                <w:color w:val="23302A"/>
                <w:sz w:val="19"/>
                <w:szCs w:val="19"/>
              </w:rPr>
              <w:t xml:space="preserve">Roadmap</w:t>
            </w:r>
          </w:p>
        </w:tc>
      </w:tr>
    </w:tbl>
    <w:p>
      <w:pPr>
        <w:spacing w:after="245" w:before="105"/>
      </w:pPr>
      <w:r>
        <w:rPr>
          <w:i/>
          <w:iCs/>
          <w:color w:val="6B7280"/>
          <w:sz w:val="18"/>
          <w:szCs w:val="18"/>
        </w:rPr>
        <w:t xml:space="preserve">Tabla 9. Arquitectura de ramas. Solo la primera se contempla para la etapa actual.</w:t>
      </w:r>
    </w:p>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8EC" w:val="clear"/>
            <w:tcMar>
              <w:top w:type="dxa" w:w="175"/>
              <w:left w:type="dxa" w:w="205"/>
              <w:bottom w:type="dxa" w:w="175"/>
              <w:right w:type="dxa" w:w="205"/>
            </w:tcMar>
          </w:tcPr>
          <w:p>
            <w:pPr>
              <w:spacing w:after="95"/>
            </w:pPr>
            <w:r>
              <w:rPr>
                <w:b/>
                <w:bCs/>
                <w:color w:val="9A6B00"/>
                <w:sz w:val="21"/>
                <w:szCs w:val="21"/>
              </w:rPr>
              <w:t xml:space="preserve">Regla de gobernanza de las ramas</w:t>
            </w:r>
          </w:p>
          <w:p>
            <w:pPr>
              <w:spacing w:after="78" w:line="256"/>
            </w:pPr>
            <w:r>
              <w:rPr>
                <w:sz w:val="20"/>
                <w:szCs w:val="20"/>
              </w:rPr>
              <w:t xml:space="preserve">No se programa una rama sin su ruta de canalización correspondiente. Tamizar algo que no se puede atender no es neutral: se le informa a la persona que tiene un problema y se le deja sola con él.</w:t>
            </w:r>
          </w:p>
          <w:p>
            <w:pPr>
              <w:spacing w:after="78" w:line="256"/>
            </w:pPr>
            <w:r>
              <w:rPr>
                <w:sz w:val="20"/>
                <w:szCs w:val="20"/>
              </w:rPr>
              <w:t xml:space="preserve">Cada rama requiere tres cosas antes de escribir código: el instrumento con su licencia verificada, el protocolo de escalada, y el recurso concreto al que se canaliza.</w:t>
            </w:r>
          </w:p>
          <w:p>
            <w:pPr>
              <w:spacing w:after="78" w:line="256"/>
            </w:pPr>
            <w:r>
              <w:rPr>
                <w:sz w:val="20"/>
                <w:szCs w:val="20"/>
              </w:rPr>
              <w:t xml:space="preserve">El acoso es un caso distinto: no es un trastorno sino una exposición. Se registra como marcador transversal que acompaña al nivel — «Naranja · marcador: acoso reportado» — porque la acción correcta no es canalizar a la persona sino intervenir el entorno.</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7</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Modelo de datos y separación de planos</w:t>
            </w:r>
          </w:p>
        </w:tc>
      </w:tr>
    </w:tbl>
    <w:p>
      <w:pPr>
        <w:spacing w:after="115"/>
      </w:pPr>
      <w:r>
        <w:t xml:space="preserve"/>
      </w:r>
    </w:p>
    <w:p>
      <w:pPr>
        <w:spacing w:after="175" w:before="0" w:line="274"/>
      </w:pPr>
      <w:r>
        <w:rPr>
          <w:sz w:val="21"/>
          <w:szCs w:val="21"/>
        </w:rPr>
        <w:t xml:space="preserve">La separación entre el plano clínico y el plano gerencial se implementa en la capa de datos y en los permisos, nunca ocultando elementos en la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1F6F3F" w:val="clear"/>
            <w:tcMar>
              <w:top w:type="dxa" w:w="105"/>
              <w:left w:type="dxa" w:w="125"/>
              <w:bottom w:type="dxa" w:w="105"/>
              <w:right w:type="dxa" w:w="125"/>
            </w:tcMar>
            <w:vAlign w:val="center"/>
          </w:tcPr>
          <w:p>
            <w:pPr>
              <w:spacing w:after="50" w:line="248"/>
            </w:pPr>
            <w:r>
              <w:rPr>
                <w:b/>
                <w:bCs/>
                <w:color w:val="FFFFFF"/>
                <w:sz w:val="19"/>
                <w:szCs w:val="19"/>
              </w:rPr>
              <w:t xml:space="preserve"/>
            </w:r>
          </w:p>
        </w:tc>
        <w:tc>
          <w:tcPr>
            <w:tcW w:type="dxa" w:w="3650"/>
            <w:shd w:fill="1F6F3F" w:val="clear"/>
            <w:tcMar>
              <w:top w:type="dxa" w:w="105"/>
              <w:left w:type="dxa" w:w="125"/>
              <w:bottom w:type="dxa" w:w="105"/>
              <w:right w:type="dxa" w:w="125"/>
            </w:tcMar>
            <w:vAlign w:val="center"/>
          </w:tcPr>
          <w:p>
            <w:pPr>
              <w:spacing w:after="50" w:line="248"/>
            </w:pPr>
            <w:r>
              <w:rPr>
                <w:b/>
                <w:bCs/>
                <w:color w:val="FFFFFF"/>
                <w:sz w:val="19"/>
                <w:szCs w:val="19"/>
              </w:rPr>
              <w:t xml:space="preserve">Plano clínico</w:t>
            </w:r>
          </w:p>
        </w:tc>
        <w:tc>
          <w:tcPr>
            <w:tcW w:type="dxa" w:w="3650"/>
            <w:shd w:fill="1F6F3F" w:val="clear"/>
            <w:tcMar>
              <w:top w:type="dxa" w:w="105"/>
              <w:left w:type="dxa" w:w="125"/>
              <w:bottom w:type="dxa" w:w="105"/>
              <w:right w:type="dxa" w:w="125"/>
            </w:tcMar>
            <w:vAlign w:val="center"/>
          </w:tcPr>
          <w:p>
            <w:pPr>
              <w:spacing w:after="50" w:line="248"/>
            </w:pPr>
            <w:r>
              <w:rPr>
                <w:b/>
                <w:bCs/>
                <w:color w:val="FFFFFF"/>
                <w:sz w:val="19"/>
                <w:szCs w:val="19"/>
              </w:rPr>
              <w:t xml:space="preserve">Plano gerencial</w:t>
            </w:r>
          </w:p>
        </w:tc>
      </w:tr>
      <w:tr>
        <w:tc>
          <w:tcPr>
            <w:tcW w:type="dxa" w:w="2059"/>
            <w:tcMar>
              <w:top w:type="dxa" w:w="105"/>
              <w:left w:type="dxa" w:w="125"/>
              <w:bottom w:type="dxa" w:w="105"/>
              <w:right w:type="dxa" w:w="125"/>
            </w:tcMar>
            <w:vAlign w:val="center"/>
          </w:tcPr>
          <w:p>
            <w:pPr>
              <w:spacing w:after="50" w:line="248"/>
            </w:pPr>
            <w:r>
              <w:rPr>
                <w:b w:val="false"/>
                <w:bCs w:val="false"/>
                <w:color w:val="23302A"/>
                <w:sz w:val="19"/>
                <w:szCs w:val="19"/>
              </w:rPr>
              <w:t xml:space="preserve">Acceso</w:t>
            </w:r>
          </w:p>
        </w:tc>
        <w:tc>
          <w:tcPr>
            <w:tcW w:type="dxa" w:w="3650"/>
            <w:tcMar>
              <w:top w:type="dxa" w:w="105"/>
              <w:left w:type="dxa" w:w="125"/>
              <w:bottom w:type="dxa" w:w="105"/>
              <w:right w:type="dxa" w:w="125"/>
            </w:tcMar>
            <w:vAlign w:val="center"/>
          </w:tcPr>
          <w:p>
            <w:pPr>
              <w:spacing w:after="50" w:line="248"/>
            </w:pPr>
            <w:r>
              <w:rPr>
                <w:b w:val="false"/>
                <w:bCs w:val="false"/>
                <w:color w:val="23302A"/>
                <w:sz w:val="19"/>
                <w:szCs w:val="19"/>
              </w:rPr>
              <w:t xml:space="preserve">Profesional con cédula, bajo secreto profesional y carta de confidencialidad</w:t>
            </w:r>
          </w:p>
        </w:tc>
        <w:tc>
          <w:tcPr>
            <w:tcW w:type="dxa" w:w="3650"/>
            <w:tcMar>
              <w:top w:type="dxa" w:w="105"/>
              <w:left w:type="dxa" w:w="125"/>
              <w:bottom w:type="dxa" w:w="105"/>
              <w:right w:type="dxa" w:w="125"/>
            </w:tcMar>
            <w:vAlign w:val="center"/>
          </w:tcPr>
          <w:p>
            <w:pPr>
              <w:spacing w:after="50" w:line="248"/>
            </w:pPr>
            <w:r>
              <w:rPr>
                <w:b w:val="false"/>
                <w:bCs w:val="false"/>
                <w:color w:val="23302A"/>
                <w:sz w:val="19"/>
                <w:szCs w:val="19"/>
              </w:rPr>
              <w:t xml:space="preserve">Responsable de RH o Bienestar de la empresa contratante</w:t>
            </w:r>
          </w:p>
        </w:tc>
      </w:tr>
      <w:tr>
        <w:tc>
          <w:tcPr>
            <w:tcW w:type="dxa" w:w="205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Contenido</w:t>
            </w:r>
          </w:p>
        </w:tc>
        <w:tc>
          <w:tcPr>
            <w:tcW w:type="dxa" w:w="365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Texto libre, respuestas ítem por ítem, puntajes, banderas con identidad</w:t>
            </w:r>
          </w:p>
        </w:tc>
        <w:tc>
          <w:tcPr>
            <w:tcW w:type="dxa" w:w="365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Únicamente agregados: distribución por nivel, tendencia del grupo, participación</w:t>
            </w:r>
          </w:p>
        </w:tc>
      </w:tr>
      <w:tr>
        <w:tc>
          <w:tcPr>
            <w:tcW w:type="dxa" w:w="2059"/>
            <w:tcMar>
              <w:top w:type="dxa" w:w="105"/>
              <w:left w:type="dxa" w:w="125"/>
              <w:bottom w:type="dxa" w:w="105"/>
              <w:right w:type="dxa" w:w="125"/>
            </w:tcMar>
            <w:vAlign w:val="center"/>
          </w:tcPr>
          <w:p>
            <w:pPr>
              <w:spacing w:after="50" w:line="248"/>
            </w:pPr>
            <w:r>
              <w:rPr>
                <w:b w:val="false"/>
                <w:bCs w:val="false"/>
                <w:color w:val="23302A"/>
                <w:sz w:val="19"/>
                <w:szCs w:val="19"/>
              </w:rPr>
              <w:t xml:space="preserve">Identidad</w:t>
            </w:r>
          </w:p>
        </w:tc>
        <w:tc>
          <w:tcPr>
            <w:tcW w:type="dxa" w:w="3650"/>
            <w:tcMar>
              <w:top w:type="dxa" w:w="105"/>
              <w:left w:type="dxa" w:w="125"/>
              <w:bottom w:type="dxa" w:w="105"/>
              <w:right w:type="dxa" w:w="125"/>
            </w:tcMar>
            <w:vAlign w:val="center"/>
          </w:tcPr>
          <w:p>
            <w:pPr>
              <w:spacing w:after="50" w:line="248"/>
            </w:pPr>
            <w:r>
              <w:rPr>
                <w:b w:val="false"/>
                <w:bCs w:val="false"/>
                <w:color w:val="23302A"/>
                <w:sz w:val="19"/>
                <w:szCs w:val="19"/>
              </w:rPr>
              <w:t xml:space="preserve">Identificada</w:t>
            </w:r>
          </w:p>
        </w:tc>
        <w:tc>
          <w:tcPr>
            <w:tcW w:type="dxa" w:w="3650"/>
            <w:tcMar>
              <w:top w:type="dxa" w:w="105"/>
              <w:left w:type="dxa" w:w="125"/>
              <w:bottom w:type="dxa" w:w="105"/>
              <w:right w:type="dxa" w:w="125"/>
            </w:tcMar>
            <w:vAlign w:val="center"/>
          </w:tcPr>
          <w:p>
            <w:pPr>
              <w:spacing w:after="50" w:line="248"/>
            </w:pPr>
            <w:r>
              <w:rPr>
                <w:b w:val="false"/>
                <w:bCs w:val="false"/>
                <w:color w:val="23302A"/>
                <w:sz w:val="19"/>
                <w:szCs w:val="19"/>
              </w:rPr>
              <w:t xml:space="preserve">Anonimizada, con umbral mínimo de 15 personas por corte</w:t>
            </w:r>
          </w:p>
        </w:tc>
      </w:tr>
      <w:tr>
        <w:tc>
          <w:tcPr>
            <w:tcW w:type="dxa" w:w="205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Ejemplo</w:t>
            </w:r>
          </w:p>
        </w:tc>
        <w:tc>
          <w:tcPr>
            <w:tcW w:type="dxa" w:w="365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«Usuario X · bandera activa 02:14 · ASQ positivo agudo»</w:t>
            </w:r>
          </w:p>
        </w:tc>
        <w:tc>
          <w:tcPr>
            <w:tcW w:type="dxa" w:w="3650"/>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«120 colaboradores: 68 % verde, 21 % amarillo, 8 % naranja, 3 % rojo»</w:t>
            </w:r>
          </w:p>
        </w:tc>
      </w:tr>
    </w:tbl>
    <w:p>
      <w:pPr>
        <w:spacing w:after="245" w:before="105"/>
      </w:pPr>
      <w:r>
        <w:rPr>
          <w:i/>
          <w:iCs/>
          <w:color w:val="6B7280"/>
          <w:sz w:val="18"/>
          <w:szCs w:val="18"/>
        </w:rPr>
        <w:t xml:space="preserve">Tabla 10. Separación de planos.</w:t>
      </w:r>
    </w:p>
    <w:p>
      <w:pPr>
        <w:spacing w:after="140" w:before="280"/>
      </w:pPr>
      <w:r>
        <w:rPr>
          <w:b/>
          <w:bCs/>
          <w:color w:val="1F6F3F"/>
          <w:spacing w:val="20"/>
          <w:sz w:val="18"/>
          <w:szCs w:val="18"/>
        </w:rPr>
        <w:t xml:space="preserve">ESQUEMA MÍNIMO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4" w:val="clear"/>
            <w:tcMar>
              <w:top w:type="dxa" w:w="160"/>
              <w:left w:type="dxa" w:w="200"/>
              <w:bottom w:type="dxa" w:w="160"/>
              <w:right w:type="dxa" w:w="200"/>
            </w:tcMar>
          </w:tcPr>
          <w:p>
            <w:pPr>
              <w:spacing w:after="30" w:line="240"/>
            </w:pPr>
            <w:r>
              <w:rPr>
                <w:rFonts w:ascii="Consolas" w:cs="Consolas" w:eastAsia="Consolas" w:hAnsi="Consolas"/>
                <w:color w:val="1F3D2B"/>
                <w:sz w:val="17"/>
                <w:szCs w:val="17"/>
              </w:rPr>
              <w:t xml:space="preserve">usuarios            id · org_id · rol · consentimiento_version · consentimiento_fecha</w:t>
            </w:r>
          </w:p>
          <w:p>
            <w:pPr>
              <w:spacing w:after="30" w:line="240"/>
            </w:pPr>
            <w:r>
              <w:rPr>
                <w:rFonts w:ascii="Consolas" w:cs="Consolas" w:eastAsia="Consolas" w:hAnsi="Consolas"/>
                <w:color w:val="1F3D2B"/>
                <w:sz w:val="17"/>
                <w:szCs w:val="17"/>
              </w:rPr>
              <w:t xml:space="preserve">registros_diarios   id · usuario_id · fecha · valor(0-4) · texto_libre · bandera_lexica</w:t>
            </w:r>
          </w:p>
          <w:p>
            <w:pPr>
              <w:spacing w:after="30" w:line="240"/>
            </w:pPr>
            <w:r>
              <w:rPr>
                <w:rFonts w:ascii="Consolas" w:cs="Consolas" w:eastAsia="Consolas" w:hAnsi="Consolas"/>
                <w:color w:val="1F3D2B"/>
                <w:sz w:val="17"/>
                <w:szCs w:val="17"/>
              </w:rPr>
              <w:t xml:space="preserve">series_vigilancia   usuario_id · base30 · movil7 · dias_silencio · ultima_señal · fecha</w:t>
            </w:r>
          </w:p>
          <w:p>
            <w:pPr>
              <w:spacing w:after="30" w:line="240"/>
            </w:pPr>
            <w:r>
              <w:rPr>
                <w:rFonts w:ascii="Consolas" w:cs="Consolas" w:eastAsia="Consolas" w:hAnsi="Consolas"/>
                <w:color w:val="1F3D2B"/>
                <w:sz w:val="17"/>
                <w:szCs w:val="17"/>
              </w:rPr>
              <w:t xml:space="preserve">aplicaciones_who5   id · usuario_id · fecha · i1..i5 · crudo · escala · origen</w:t>
            </w:r>
          </w:p>
          <w:p>
            <w:pPr>
              <w:spacing w:after="30" w:line="240"/>
            </w:pPr>
            <w:r>
              <w:rPr>
                <w:rFonts w:ascii="Consolas" w:cs="Consolas" w:eastAsia="Consolas" w:hAnsi="Consolas"/>
                <w:color w:val="1F3D2B"/>
                <w:sz w:val="17"/>
                <w:szCs w:val="17"/>
              </w:rPr>
              <w:t xml:space="preserve">aplicaciones_mdi    id · usuario_id · fecha · i1..i10 (8a,8b,10a,10b) · total</w:t>
            </w:r>
          </w:p>
          <w:p>
            <w:pPr>
              <w:spacing w:after="30" w:line="240"/>
            </w:pPr>
            <w:r>
              <w:rPr>
                <w:rFonts w:ascii="Consolas" w:cs="Consolas" w:eastAsia="Consolas" w:hAnsi="Consolas"/>
                <w:color w:val="1F3D2B"/>
                <w:sz w:val="17"/>
                <w:szCs w:val="17"/>
              </w:rPr>
              <w:t xml:space="preserve">aplicaciones_asq    id · usuario_id · fecha · p1..p5 · metodo · fecha_intento · resultado</w:t>
            </w:r>
          </w:p>
          <w:p>
            <w:pPr>
              <w:spacing w:after="30" w:line="240"/>
            </w:pPr>
            <w:r>
              <w:rPr>
                <w:rFonts w:ascii="Consolas" w:cs="Consolas" w:eastAsia="Consolas" w:hAnsi="Consolas"/>
                <w:color w:val="1F3D2B"/>
                <w:sz w:val="17"/>
                <w:szCs w:val="17"/>
              </w:rPr>
              <w:t xml:space="preserve">aplicaciones_puchol id · usuario_id · fecha · fisio · cogn · motora · emoc · alteradas</w:t>
            </w:r>
          </w:p>
          <w:p>
            <w:pPr>
              <w:spacing w:after="30" w:line="240"/>
            </w:pPr>
            <w:r>
              <w:rPr>
                <w:rFonts w:ascii="Consolas" w:cs="Consolas" w:eastAsia="Consolas" w:hAnsi="Consolas"/>
                <w:color w:val="1F3D2B"/>
                <w:sz w:val="17"/>
                <w:szCs w:val="17"/>
              </w:rPr>
              <w:t xml:space="preserve">clasificaciones     id · usuario_id · fecha · nivel · origen · banderas[]</w:t>
            </w:r>
          </w:p>
          <w:p>
            <w:pPr>
              <w:spacing w:after="30" w:line="240"/>
            </w:pPr>
            <w:r>
              <w:rPr>
                <w:rFonts w:ascii="Consolas" w:cs="Consolas" w:eastAsia="Consolas" w:hAnsi="Consolas"/>
                <w:color w:val="1F3D2B"/>
                <w:sz w:val="17"/>
                <w:szCs w:val="17"/>
              </w:rPr>
              <w:t xml:space="preserve">eventos_crisis      id · usuario_id · disparado_en · notificado_en · contactado_en ·</w:t>
            </w:r>
          </w:p>
          <w:p>
            <w:pPr>
              <w:spacing w:after="30" w:line="240"/>
            </w:pPr>
            <w:r>
              <w:rPr>
                <w:rFonts w:ascii="Consolas" w:cs="Consolas" w:eastAsia="Consolas" w:hAnsi="Consolas"/>
                <w:color w:val="1F3D2B"/>
                <w:sz w:val="17"/>
                <w:szCs w:val="17"/>
              </w:rPr>
              <w:t xml:space="preserve">                    salida_sin_contacto · cierre_verificado_por</w:t>
            </w:r>
          </w:p>
          <w:p>
            <w:pPr>
              <w:spacing w:after="30" w:line="240"/>
            </w:pPr>
            <w:r>
              <w:rPr>
                <w:rFonts w:ascii="Consolas" w:cs="Consolas" w:eastAsia="Consolas" w:hAnsi="Consolas"/>
                <w:color w:val="1F3D2B"/>
                <w:sz w:val="17"/>
                <w:szCs w:val="17"/>
              </w:rPr>
              <w:t xml:space="preserve">contactos_emergencia  id · usuario_id · nombre · telefono · relacion</w:t>
            </w:r>
          </w:p>
          <w:p>
            <w:pPr>
              <w:spacing w:after="30" w:line="240"/>
            </w:pPr>
            <w:r>
              <w:rPr>
                <w:rFonts w:ascii="Consolas" w:cs="Consolas" w:eastAsia="Consolas" w:hAnsi="Consolas"/>
                <w:color w:val="1F3D2B"/>
                <w:sz w:val="17"/>
                <w:szCs w:val="17"/>
              </w:rPr>
              <w:t xml:space="preserve"/>
            </w:r>
          </w:p>
          <w:p>
            <w:pPr>
              <w:spacing w:after="30" w:line="240"/>
            </w:pPr>
            <w:r>
              <w:rPr>
                <w:rFonts w:ascii="Consolas" w:cs="Consolas" w:eastAsia="Consolas" w:hAnsi="Consolas"/>
                <w:color w:val="1F3D2B"/>
                <w:sz w:val="17"/>
                <w:szCs w:val="17"/>
              </w:rPr>
              <w:t xml:space="preserve">// El plano gerencial NO consulta estas tablas: consulta una vista agregada</w:t>
            </w:r>
          </w:p>
          <w:p>
            <w:pPr>
              <w:spacing w:after="30" w:line="240"/>
            </w:pPr>
            <w:r>
              <w:rPr>
                <w:rFonts w:ascii="Consolas" w:cs="Consolas" w:eastAsia="Consolas" w:hAnsi="Consolas"/>
                <w:color w:val="1F3D2B"/>
                <w:sz w:val="17"/>
                <w:szCs w:val="17"/>
              </w:rPr>
              <w:t xml:space="preserve">// que aplica el umbral mínimo de 15 personas por corte.</w:t>
            </w:r>
          </w:p>
        </w:tc>
      </w:tr>
    </w:tbl>
    <w:p>
      <w:pPr>
        <w:spacing w:after="140" w:before="280"/>
      </w:pPr>
      <w:r>
        <w:rPr>
          <w:b/>
          <w:bCs/>
          <w:color w:val="1F6F3F"/>
          <w:spacing w:val="20"/>
          <w:sz w:val="18"/>
          <w:szCs w:val="18"/>
        </w:rPr>
        <w:t xml:space="preserve">FILTRO LÉXICO DEL TEXTO LIBRE</w:t>
      </w:r>
    </w:p>
    <w:p>
      <w:pPr>
        <w:pStyle w:val="ListParagraph"/>
        <w:numPr>
          <w:ilvl w:val="0"/>
          <w:numId w:val="2"/>
        </w:numPr>
        <w:spacing w:after="85" w:line="256"/>
      </w:pPr>
      <w:r>
        <w:rPr>
          <w:sz w:val="20"/>
          <w:szCs w:val="20"/>
        </w:rPr>
        <w:t xml:space="preserve">El sistema NO interpreta el texto. Aplica coincidencia contra una lista cerrada y versionada de términos críticos.</w:t>
      </w:r>
    </w:p>
    <w:p>
      <w:pPr>
        <w:pStyle w:val="ListParagraph"/>
        <w:numPr>
          <w:ilvl w:val="0"/>
          <w:numId w:val="2"/>
        </w:numPr>
        <w:spacing w:after="85" w:line="256"/>
      </w:pPr>
      <w:r>
        <w:rPr>
          <w:sz w:val="20"/>
          <w:szCs w:val="20"/>
        </w:rPr>
        <w:t xml:space="preserve">La lista es un componente clínico: la revisa y firma el asesor clínico, y se versiona en el repositorio junto al código.</w:t>
      </w:r>
    </w:p>
    <w:p>
      <w:pPr>
        <w:pStyle w:val="ListParagraph"/>
        <w:numPr>
          <w:ilvl w:val="0"/>
          <w:numId w:val="2"/>
        </w:numPr>
        <w:spacing w:after="85" w:line="256"/>
      </w:pPr>
      <w:r>
        <w:rPr>
          <w:sz w:val="20"/>
          <w:szCs w:val="20"/>
        </w:rPr>
        <w:t xml:space="preserve">Categorías: autolesión y muerte autoinfligida, métodos o medios letales, desesperanza absoluta, violencia sufrida o ejercida.</w:t>
      </w:r>
    </w:p>
    <w:p>
      <w:pPr>
        <w:pStyle w:val="ListParagraph"/>
        <w:numPr>
          <w:ilvl w:val="0"/>
          <w:numId w:val="2"/>
        </w:numPr>
        <w:spacing w:after="85" w:line="256"/>
      </w:pPr>
      <w:r>
        <w:rPr>
          <w:sz w:val="20"/>
          <w:szCs w:val="20"/>
        </w:rPr>
        <w:t xml:space="preserve">Un término detectado levanta bandera para revisión humana en el plano clínico. Nunca clasifica por sí solo, y nunca se expone al plano gerencial.</w:t>
      </w:r>
    </w:p>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8</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Despliegue e infraestructura</w:t>
            </w:r>
          </w:p>
        </w:tc>
      </w:tr>
    </w:tbl>
    <w:p>
      <w:pPr>
        <w:spacing w:after="115"/>
      </w:pPr>
      <w:r>
        <w:t xml:space="preserve"/>
      </w:r>
    </w:p>
    <w:p>
      <w:pPr>
        <w:spacing w:after="175" w:before="0" w:line="274"/>
      </w:pPr>
      <w:r>
        <w:rPr>
          <w:sz w:val="21"/>
          <w:szCs w:val="21"/>
        </w:rPr>
        <w:t xml:space="preserve">Despliegue en Railway bajo modelo de consumo. La configuración base cubre una empresa piloto de 15 usuarios y escala por incremento de recursos, sin cambio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123"/>
        <w:gridCol w:w="1123"/>
        <w:gridCol w:w="2246"/>
        <w:gridCol w:w="1591"/>
        <w:gridCol w:w="1591"/>
      </w:tblGrid>
      <w:tr>
        <w:trPr>
          <w:tblHeader/>
        </w:trPr>
        <w:tc>
          <w:tcPr>
            <w:tcW w:type="dxa" w:w="1685"/>
            <w:shd w:fill="1F6F3F" w:val="clear"/>
            <w:tcMar>
              <w:top w:type="dxa" w:w="105"/>
              <w:left w:type="dxa" w:w="125"/>
              <w:bottom w:type="dxa" w:w="105"/>
              <w:right w:type="dxa" w:w="125"/>
            </w:tcMar>
            <w:vAlign w:val="center"/>
          </w:tcPr>
          <w:p>
            <w:pPr>
              <w:spacing w:after="50" w:line="248"/>
            </w:pPr>
            <w:r>
              <w:rPr>
                <w:b/>
                <w:bCs/>
                <w:color w:val="FFFFFF"/>
                <w:sz w:val="19"/>
                <w:szCs w:val="19"/>
              </w:rPr>
              <w:t xml:space="preserve">Escenario</w:t>
            </w:r>
          </w:p>
        </w:tc>
        <w:tc>
          <w:tcPr>
            <w:tcW w:type="dxa" w:w="1123"/>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Empresas</w:t>
            </w:r>
          </w:p>
        </w:tc>
        <w:tc>
          <w:tcPr>
            <w:tcW w:type="dxa" w:w="1123"/>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Usuarios</w:t>
            </w:r>
          </w:p>
        </w:tc>
        <w:tc>
          <w:tcPr>
            <w:tcW w:type="dxa" w:w="2246"/>
            <w:shd w:fill="1F6F3F" w:val="clear"/>
            <w:tcMar>
              <w:top w:type="dxa" w:w="105"/>
              <w:left w:type="dxa" w:w="125"/>
              <w:bottom w:type="dxa" w:w="105"/>
              <w:right w:type="dxa" w:w="125"/>
            </w:tcMar>
            <w:vAlign w:val="center"/>
          </w:tcPr>
          <w:p>
            <w:pPr>
              <w:spacing w:after="50" w:line="248"/>
            </w:pPr>
            <w:r>
              <w:rPr>
                <w:b/>
                <w:bCs/>
                <w:color w:val="FFFFFF"/>
                <w:sz w:val="19"/>
                <w:szCs w:val="19"/>
              </w:rPr>
              <w:t xml:space="preserve">Recursos</w:t>
            </w:r>
          </w:p>
        </w:tc>
        <w:tc>
          <w:tcPr>
            <w:tcW w:type="dxa" w:w="1591"/>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USD/mes</w:t>
            </w:r>
          </w:p>
        </w:tc>
        <w:tc>
          <w:tcPr>
            <w:tcW w:type="dxa" w:w="1591"/>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MXN/mes</w:t>
            </w:r>
          </w:p>
        </w:tc>
      </w:tr>
      <w:tr>
        <w:tc>
          <w:tcPr>
            <w:tcW w:type="dxa" w:w="1685"/>
            <w:tcMar>
              <w:top w:type="dxa" w:w="105"/>
              <w:left w:type="dxa" w:w="125"/>
              <w:bottom w:type="dxa" w:w="105"/>
              <w:right w:type="dxa" w:w="125"/>
            </w:tcMar>
            <w:vAlign w:val="center"/>
          </w:tcPr>
          <w:p>
            <w:pPr>
              <w:spacing w:after="50" w:line="248"/>
            </w:pPr>
            <w:r>
              <w:rPr>
                <w:b w:val="false"/>
                <w:bCs w:val="false"/>
                <w:color w:val="23302A"/>
                <w:sz w:val="19"/>
                <w:szCs w:val="19"/>
              </w:rPr>
              <w:t xml:space="preserve">Piloto</w:t>
            </w:r>
          </w:p>
        </w:tc>
        <w:tc>
          <w:tcPr>
            <w:tcW w:type="dxa" w:w="1123"/>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1123"/>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15</w:t>
            </w:r>
          </w:p>
        </w:tc>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1 GB RAM · 0.2 vCPU · 1 GB</w:t>
            </w:r>
          </w:p>
        </w:tc>
        <w:tc>
          <w:tcPr>
            <w:tcW w:type="dxa" w:w="1591"/>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$14.21</w:t>
            </w:r>
          </w:p>
        </w:tc>
        <w:tc>
          <w:tcPr>
            <w:tcW w:type="dxa" w:w="1591"/>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$265</w:t>
            </w:r>
          </w:p>
        </w:tc>
      </w:tr>
      <w:tr>
        <w:tc>
          <w:tcPr>
            <w:tcW w:type="dxa" w:w="1685"/>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Inicial</w:t>
            </w:r>
          </w:p>
        </w:tc>
        <w:tc>
          <w:tcPr>
            <w:tcW w:type="dxa" w:w="1123"/>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1123"/>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300</w:t>
            </w:r>
          </w:p>
        </w:tc>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2 GB RAM · 0.5 vCPU · 5 GB</w:t>
            </w:r>
          </w:p>
        </w:tc>
        <w:tc>
          <w:tcPr>
            <w:tcW w:type="dxa" w:w="1591"/>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$31.29</w:t>
            </w:r>
          </w:p>
        </w:tc>
        <w:tc>
          <w:tcPr>
            <w:tcW w:type="dxa" w:w="1591"/>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$579</w:t>
            </w:r>
          </w:p>
        </w:tc>
      </w:tr>
      <w:tr>
        <w:tc>
          <w:tcPr>
            <w:tcW w:type="dxa" w:w="1685"/>
            <w:tcMar>
              <w:top w:type="dxa" w:w="105"/>
              <w:left w:type="dxa" w:w="125"/>
              <w:bottom w:type="dxa" w:w="105"/>
              <w:right w:type="dxa" w:w="125"/>
            </w:tcMar>
            <w:vAlign w:val="center"/>
          </w:tcPr>
          <w:p>
            <w:pPr>
              <w:spacing w:after="50" w:line="248"/>
            </w:pPr>
            <w:r>
              <w:rPr>
                <w:b w:val="false"/>
                <w:bCs w:val="false"/>
                <w:color w:val="23302A"/>
                <w:sz w:val="19"/>
                <w:szCs w:val="19"/>
              </w:rPr>
              <w:t xml:space="preserve">Operación</w:t>
            </w:r>
          </w:p>
        </w:tc>
        <w:tc>
          <w:tcPr>
            <w:tcW w:type="dxa" w:w="1123"/>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15</w:t>
            </w:r>
          </w:p>
        </w:tc>
        <w:tc>
          <w:tcPr>
            <w:tcW w:type="dxa" w:w="1123"/>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1,500</w:t>
            </w:r>
          </w:p>
        </w:tc>
        <w:tc>
          <w:tcPr>
            <w:tcW w:type="dxa" w:w="2246"/>
            <w:tcMar>
              <w:top w:type="dxa" w:w="105"/>
              <w:left w:type="dxa" w:w="125"/>
              <w:bottom w:type="dxa" w:w="105"/>
              <w:right w:type="dxa" w:w="125"/>
            </w:tcMar>
            <w:vAlign w:val="center"/>
          </w:tcPr>
          <w:p>
            <w:pPr>
              <w:spacing w:after="50" w:line="248"/>
            </w:pPr>
            <w:r>
              <w:rPr>
                <w:b w:val="false"/>
                <w:bCs w:val="false"/>
                <w:color w:val="23302A"/>
                <w:sz w:val="19"/>
                <w:szCs w:val="19"/>
              </w:rPr>
              <w:t xml:space="preserve">4 GB RAM · 1 vCPU · 20 GB</w:t>
            </w:r>
          </w:p>
        </w:tc>
        <w:tc>
          <w:tcPr>
            <w:tcW w:type="dxa" w:w="1591"/>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$65.14</w:t>
            </w:r>
          </w:p>
        </w:tc>
        <w:tc>
          <w:tcPr>
            <w:tcW w:type="dxa" w:w="1591"/>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$1,205</w:t>
            </w:r>
          </w:p>
        </w:tc>
      </w:tr>
      <w:tr>
        <w:tc>
          <w:tcPr>
            <w:tcW w:type="dxa" w:w="1685"/>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Escala</w:t>
            </w:r>
          </w:p>
        </w:tc>
        <w:tc>
          <w:tcPr>
            <w:tcW w:type="dxa" w:w="1123"/>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50</w:t>
            </w:r>
          </w:p>
        </w:tc>
        <w:tc>
          <w:tcPr>
            <w:tcW w:type="dxa" w:w="1123"/>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7,500</w:t>
            </w:r>
          </w:p>
        </w:tc>
        <w:tc>
          <w:tcPr>
            <w:tcW w:type="dxa" w:w="224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8 GB RAM · 2 vCPU · 100 GB</w:t>
            </w:r>
          </w:p>
        </w:tc>
        <w:tc>
          <w:tcPr>
            <w:tcW w:type="dxa" w:w="1591"/>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$143.11</w:t>
            </w:r>
          </w:p>
        </w:tc>
        <w:tc>
          <w:tcPr>
            <w:tcW w:type="dxa" w:w="1591"/>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$2,648</w:t>
            </w:r>
          </w:p>
        </w:tc>
      </w:tr>
    </w:tbl>
    <w:p>
      <w:pPr>
        <w:spacing w:after="245" w:before="105"/>
      </w:pPr>
      <w:r>
        <w:rPr>
          <w:i/>
          <w:iCs/>
          <w:color w:val="6B7280"/>
          <w:sz w:val="18"/>
          <w:szCs w:val="18"/>
        </w:rPr>
        <w:t xml:space="preserve">Tabla 11. Dimensionamiento por escenario. Tarifas Railway: $10.01 USD por GB de RAM al mes, $20.01 por vCPU, $0.16 por GB de volumen, $0.05 por GB de egreso. Tipo de cambio de referencia 18.50.</w:t>
      </w:r>
    </w:p>
    <w:p>
      <w:pPr>
        <w:spacing w:after="115"/>
      </w:pPr>
      <w:r>
        <w:t xml:space="preserve"/>
      </w:r>
    </w:p>
    <w:p>
      <w:pPr>
        <w:pStyle w:val="ListParagraph"/>
        <w:numPr>
          <w:ilvl w:val="0"/>
          <w:numId w:val="2"/>
        </w:numPr>
        <w:spacing w:after="85" w:line="256"/>
      </w:pPr>
      <w:r>
        <w:rPr>
          <w:sz w:val="20"/>
          <w:szCs w:val="20"/>
        </w:rPr>
        <w:t xml:space="preserve">Servicios separados: aplicación web, base de datos PostgreSQL y volumen persistente.</w:t>
      </w:r>
    </w:p>
    <w:p>
      <w:pPr>
        <w:pStyle w:val="ListParagraph"/>
        <w:numPr>
          <w:ilvl w:val="0"/>
          <w:numId w:val="2"/>
        </w:numPr>
        <w:spacing w:after="85" w:line="256"/>
      </w:pPr>
      <w:r>
        <w:rPr>
          <w:sz w:val="20"/>
          <w:szCs w:val="20"/>
        </w:rPr>
        <w:t xml:space="preserve">Cifrado en reposo para las tablas del plano clínico y respaldo automático diario.</w:t>
      </w:r>
    </w:p>
    <w:p>
      <w:pPr>
        <w:pStyle w:val="ListParagraph"/>
        <w:numPr>
          <w:ilvl w:val="0"/>
          <w:numId w:val="2"/>
        </w:numPr>
        <w:spacing w:after="85" w:line="256"/>
      </w:pPr>
      <w:r>
        <w:rPr>
          <w:sz w:val="20"/>
          <w:szCs w:val="20"/>
        </w:rPr>
        <w:t xml:space="preserve">Variables de entorno para líneas de crisis, umbrales y versión del consentimiento: ningún valor clínico incrustado en el código.</w:t>
      </w:r>
    </w:p>
    <w:p>
      <w:pPr>
        <w:pStyle w:val="ListParagraph"/>
        <w:numPr>
          <w:ilvl w:val="0"/>
          <w:numId w:val="2"/>
        </w:numPr>
        <w:spacing w:after="85" w:line="256"/>
      </w:pPr>
      <w:r>
        <w:rPr>
          <w:sz w:val="20"/>
          <w:szCs w:val="20"/>
        </w:rPr>
        <w:t xml:space="preserve">Registro de auditoría de todo acceso al plano clínico, con usuario, fecha y registro consultado.</w:t>
      </w:r>
    </w:p>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9</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Otros módulos de la plataforma</w:t>
            </w:r>
          </w:p>
        </w:tc>
      </w:tr>
    </w:tbl>
    <w:p>
      <w:pPr>
        <w:spacing w:after="115"/>
      </w:pPr>
      <w:r>
        <w:t xml:space="preserve"/>
      </w:r>
    </w:p>
    <w:p>
      <w:pPr>
        <w:spacing w:after="175" w:before="0" w:line="274"/>
      </w:pPr>
      <w:r>
        <w:rPr>
          <w:sz w:val="21"/>
          <w:szCs w:val="21"/>
        </w:rPr>
        <w:t xml:space="preserve">La plataforma incluye y seguirá incluyendo apartados que no forman parte del motor de clasificación. Se documentan aquí conforme se definan.</w:t>
      </w:r>
    </w:p>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FAF8" w:val="clear"/>
            <w:tcMar>
              <w:top w:type="dxa" w:w="210"/>
              <w:left w:type="dxa" w:w="210"/>
              <w:bottom w:type="dxa" w:w="210"/>
              <w:right w:type="dxa" w:w="210"/>
            </w:tcMar>
          </w:tcPr>
          <w:p>
            <w:pPr>
              <w:spacing w:after="110"/>
            </w:pPr>
            <w:r>
              <w:rPr>
                <w:b/>
                <w:bCs/>
                <w:color w:val="6B7280"/>
                <w:sz w:val="21"/>
                <w:szCs w:val="21"/>
              </w:rPr>
              <w:t xml:space="preserve">9.1 · Foro de expertos</w:t>
            </w:r>
          </w:p>
          <w:p>
            <w:pPr>
              <w:spacing w:after="75" w:line="254"/>
            </w:pPr>
            <w:r>
              <w:rPr>
                <w:i/>
                <w:iCs/>
                <w:color w:val="6B7280"/>
                <w:sz w:val="19"/>
                <w:szCs w:val="19"/>
              </w:rPr>
              <w:t xml:space="preserve">Espacio de consulta con profesionales de salud mental.</w:t>
            </w:r>
          </w:p>
          <w:p>
            <w:pPr>
              <w:spacing w:after="75" w:line="254"/>
            </w:pPr>
            <w:r>
              <w:rPr>
                <w:i/>
                <w:iCs/>
                <w:color w:val="6B7280"/>
                <w:sz w:val="19"/>
                <w:szCs w:val="19"/>
              </w:rPr>
              <w:t xml:space="preserve">Pendiente de definir: moderación, verificación de cédula profesional, política de contenido, anonimato del usuario, tiempos de respuesta y su relación con el protocolo de crisis cuando una publicación contenga señales de riesgo.</w:t>
            </w:r>
          </w:p>
          <w:p>
            <w:pPr>
              <w:spacing w:before="130"/>
            </w:pPr>
            <w:r>
              <w:rPr>
                <w:i/>
                <w:iCs/>
                <w:color w:val="AAAAAA"/>
                <w:sz w:val="19"/>
                <w:szCs w:val="19"/>
              </w:rPr>
              <w:t xml:space="preserve">[ Espacio reservado — pendiente de documentar ]</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FAF8" w:val="clear"/>
            <w:tcMar>
              <w:top w:type="dxa" w:w="210"/>
              <w:left w:type="dxa" w:w="210"/>
              <w:bottom w:type="dxa" w:w="210"/>
              <w:right w:type="dxa" w:w="210"/>
            </w:tcMar>
          </w:tcPr>
          <w:p>
            <w:pPr>
              <w:spacing w:after="110"/>
            </w:pPr>
            <w:r>
              <w:rPr>
                <w:b/>
                <w:bCs/>
                <w:color w:val="6B7280"/>
                <w:sz w:val="21"/>
                <w:szCs w:val="21"/>
              </w:rPr>
              <w:t xml:space="preserve">9.2 · Recursos de ayuda personal</w:t>
            </w:r>
          </w:p>
          <w:p>
            <w:pPr>
              <w:spacing w:after="75" w:line="254"/>
            </w:pPr>
            <w:r>
              <w:rPr>
                <w:i/>
                <w:iCs/>
                <w:color w:val="6B7280"/>
                <w:sz w:val="19"/>
                <w:szCs w:val="19"/>
              </w:rPr>
              <w:t xml:space="preserve">Biblioteca de contenidos de autocuidado, ejercicios de respiración, técnicas de grounding y material psicoeducativo.</w:t>
            </w:r>
          </w:p>
          <w:p>
            <w:pPr>
              <w:spacing w:after="75" w:line="254"/>
            </w:pPr>
            <w:r>
              <w:rPr>
                <w:i/>
                <w:iCs/>
                <w:color w:val="6B7280"/>
                <w:sz w:val="19"/>
                <w:szCs w:val="19"/>
              </w:rPr>
              <w:t xml:space="preserve">Pendiente de definir: origen y validación clínica de cada contenido, criterio de asignación según el dominio afectado, y control de versiones del material.</w:t>
            </w:r>
          </w:p>
          <w:p>
            <w:pPr>
              <w:spacing w:before="130"/>
            </w:pPr>
            <w:r>
              <w:rPr>
                <w:i/>
                <w:iCs/>
                <w:color w:val="AAAAAA"/>
                <w:sz w:val="19"/>
                <w:szCs w:val="19"/>
              </w:rPr>
              <w:t xml:space="preserve">[ Espacio reservado — pendiente de documentar ]</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FAF8" w:val="clear"/>
            <w:tcMar>
              <w:top w:type="dxa" w:w="210"/>
              <w:left w:type="dxa" w:w="210"/>
              <w:bottom w:type="dxa" w:w="210"/>
              <w:right w:type="dxa" w:w="210"/>
            </w:tcMar>
          </w:tcPr>
          <w:p>
            <w:pPr>
              <w:spacing w:after="110"/>
            </w:pPr>
            <w:r>
              <w:rPr>
                <w:b/>
                <w:bCs/>
                <w:color w:val="6B7280"/>
                <w:sz w:val="21"/>
                <w:szCs w:val="21"/>
              </w:rPr>
              <w:t xml:space="preserve">9.3 · Mecánica del árbol y sistema de progreso</w:t>
            </w:r>
          </w:p>
          <w:p>
            <w:pPr>
              <w:spacing w:after="75" w:line="254"/>
            </w:pPr>
            <w:r>
              <w:rPr>
                <w:i/>
                <w:iCs/>
                <w:color w:val="6B7280"/>
                <w:sz w:val="19"/>
                <w:szCs w:val="19"/>
              </w:rPr>
              <w:t xml:space="preserve">El árbol crece con la interacción y entrega un consejo en cada incremento. No se marchita por inactividad: se conserva en su último estado.</w:t>
            </w:r>
          </w:p>
          <w:p>
            <w:pPr>
              <w:spacing w:after="75" w:line="254"/>
            </w:pPr>
            <w:r>
              <w:rPr>
                <w:i/>
                <w:iCs/>
                <w:color w:val="6B7280"/>
                <w:sz w:val="19"/>
                <w:szCs w:val="19"/>
              </w:rPr>
              <w:t xml:space="preserve">Pendiente de definir: reglas de incremento, catálogo de consejos y su origen, y verificación de que la recompensa premie la constancia en el autocuidado y nunca el resultado clínico del usuario.</w:t>
            </w:r>
          </w:p>
          <w:p>
            <w:pPr>
              <w:spacing w:before="130"/>
            </w:pPr>
            <w:r>
              <w:rPr>
                <w:i/>
                <w:iCs/>
                <w:color w:val="AAAAAA"/>
                <w:sz w:val="19"/>
                <w:szCs w:val="19"/>
              </w:rPr>
              <w:t xml:space="preserve">[ Espacio reservado — pendiente de documentar ]</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FAF8" w:val="clear"/>
            <w:tcMar>
              <w:top w:type="dxa" w:w="210"/>
              <w:left w:type="dxa" w:w="210"/>
              <w:bottom w:type="dxa" w:w="210"/>
              <w:right w:type="dxa" w:w="210"/>
            </w:tcMar>
          </w:tcPr>
          <w:p>
            <w:pPr>
              <w:spacing w:after="110"/>
            </w:pPr>
            <w:r>
              <w:rPr>
                <w:b/>
                <w:bCs/>
                <w:color w:val="6B7280"/>
                <w:sz w:val="21"/>
                <w:szCs w:val="21"/>
              </w:rPr>
              <w:t xml:space="preserve">9.4 · Panel institucional y módulo NOM-035</w:t>
            </w:r>
          </w:p>
          <w:p>
            <w:pPr>
              <w:spacing w:after="75" w:line="254"/>
            </w:pPr>
            <w:r>
              <w:rPr>
                <w:i/>
                <w:iCs/>
                <w:color w:val="6B7280"/>
                <w:sz w:val="19"/>
                <w:szCs w:val="19"/>
              </w:rPr>
              <w:t xml:space="preserve">Tablero agregado para la empresa contratante y módulo de cumplimiento con la Guía de Referencia III.</w:t>
            </w:r>
          </w:p>
          <w:p>
            <w:pPr>
              <w:spacing w:after="75" w:line="254"/>
            </w:pPr>
            <w:r>
              <w:rPr>
                <w:i/>
                <w:iCs/>
                <w:color w:val="6B7280"/>
                <w:sz w:val="19"/>
                <w:szCs w:val="19"/>
              </w:rPr>
              <w:t xml:space="preserve">Pendiente de definir: estructura del reporte conservable como evidencia ante la STPS, periodicidad y política de retención de al menos un año.</w:t>
            </w:r>
          </w:p>
          <w:p>
            <w:pPr>
              <w:spacing w:before="130"/>
            </w:pPr>
            <w:r>
              <w:rPr>
                <w:i/>
                <w:iCs/>
                <w:color w:val="AAAAAA"/>
                <w:sz w:val="19"/>
                <w:szCs w:val="19"/>
              </w:rPr>
              <w:t xml:space="preserve">[ Espacio reservado — pendiente de documentar ]</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AFAF8" w:val="clear"/>
            <w:tcMar>
              <w:top w:type="dxa" w:w="210"/>
              <w:left w:type="dxa" w:w="210"/>
              <w:bottom w:type="dxa" w:w="210"/>
              <w:right w:type="dxa" w:w="210"/>
            </w:tcMar>
          </w:tcPr>
          <w:p>
            <w:pPr>
              <w:spacing w:after="110"/>
            </w:pPr>
            <w:r>
              <w:rPr>
                <w:b/>
                <w:bCs/>
                <w:color w:val="6B7280"/>
                <w:sz w:val="21"/>
                <w:szCs w:val="21"/>
              </w:rPr>
              <w:t xml:space="preserve">9.5 · Onboarding, consentimiento y contactos de emergencia</w:t>
            </w:r>
          </w:p>
          <w:p>
            <w:pPr>
              <w:spacing w:after="75" w:line="254"/>
            </w:pPr>
            <w:r>
              <w:rPr>
                <w:i/>
                <w:iCs/>
                <w:color w:val="6B7280"/>
                <w:sz w:val="19"/>
                <w:szCs w:val="19"/>
              </w:rPr>
              <w:t xml:space="preserve">Alta del usuario, consentimiento informado granular y captura obligatoria de dos contactos de emergencia.</w:t>
            </w:r>
          </w:p>
          <w:p>
            <w:pPr>
              <w:spacing w:after="75" w:line="254"/>
            </w:pPr>
            <w:r>
              <w:rPr>
                <w:i/>
                <w:iCs/>
                <w:color w:val="6B7280"/>
                <w:sz w:val="19"/>
                <w:szCs w:val="19"/>
              </w:rPr>
              <w:t xml:space="preserve">Pendiente de definir: texto legal del consentimiento, mecanismo de revocación desde la propia aplicación y versionado del aviso de privacidad.</w:t>
            </w:r>
          </w:p>
          <w:p>
            <w:pPr>
              <w:spacing w:before="130"/>
            </w:pPr>
            <w:r>
              <w:rPr>
                <w:i/>
                <w:iCs/>
                <w:color w:val="AAAAAA"/>
                <w:sz w:val="19"/>
                <w:szCs w:val="19"/>
              </w:rPr>
              <w:t xml:space="preserve">[ Espacio reservado — pendiente de documentar ]</w:t>
            </w:r>
          </w:p>
        </w:tc>
      </w:tr>
    </w:tbl>
    <w:p>
      <w:pPr>
        <w:pageBreakBefore/>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96"/>
        <w:gridCol w:w="8564"/>
      </w:tblGrid>
      <w:tr>
        <w:tc>
          <w:tcPr>
            <w:tcW w:type="dxa" w:w="796"/>
            <w:tcBorders>
              <w:top w:val="none" w:color="FFFFFF" w:sz="0"/>
              <w:left w:val="none" w:color="FFFFFF" w:sz="0"/>
              <w:bottom w:val="none" w:color="FFFFFF" w:sz="0"/>
              <w:right w:val="none" w:color="FFFFFF" w:sz="0"/>
            </w:tcBorders>
            <w:shd w:fill="1F6F3F" w:val="clear"/>
            <w:tcMar>
              <w:top w:type="dxa" w:w="130"/>
              <w:left w:type="dxa" w:w="50"/>
              <w:bottom w:type="dxa" w:w="130"/>
              <w:right w:type="dxa" w:w="50"/>
            </w:tcMar>
          </w:tcPr>
          <w:p>
            <w:pPr>
              <w:jc w:val="center"/>
            </w:pPr>
            <w:r>
              <w:rPr>
                <w:b/>
                <w:bCs/>
                <w:color w:val="FFFFFF"/>
                <w:sz w:val="30"/>
                <w:szCs w:val="30"/>
              </w:rPr>
              <w:t xml:space="preserve">10</w:t>
            </w:r>
          </w:p>
        </w:tc>
        <w:tc>
          <w:tcPr>
            <w:tcW w:type="dxa" w:w="8564"/>
            <w:tcBorders>
              <w:top w:val="none" w:color="FFFFFF" w:sz="0"/>
              <w:left w:val="none" w:color="FFFFFF" w:sz="0"/>
              <w:bottom w:val="none" w:color="FFFFFF" w:sz="0"/>
              <w:right w:val="none" w:color="FFFFFF" w:sz="0"/>
            </w:tcBorders>
            <w:shd w:fill="E8F0EA" w:val="clear"/>
            <w:tcMar>
              <w:top w:type="dxa" w:w="130"/>
              <w:left w:type="dxa" w:w="240"/>
              <w:bottom w:type="dxa" w:w="130"/>
              <w:right w:type="dxa" w:w="160"/>
            </w:tcMar>
          </w:tcPr>
          <w:p>
            <w:r>
              <w:rPr>
                <w:b/>
                <w:bCs/>
                <w:color w:val="23302A"/>
                <w:sz w:val="25"/>
                <w:szCs w:val="25"/>
              </w:rPr>
              <w:t xml:space="preserve">Lista de verificación antes de liberar</w:t>
            </w:r>
          </w:p>
        </w:tc>
      </w:tr>
    </w:tbl>
    <w:p>
      <w:pPr>
        <w:spacing w:after="1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5616"/>
        <w:gridCol w:w="3089"/>
      </w:tblGrid>
      <w:tr>
        <w:trPr>
          <w:tblHeader/>
        </w:trPr>
        <w:tc>
          <w:tcPr>
            <w:tcW w:type="dxa" w:w="655"/>
            <w:shd w:fill="1F6F3F" w:val="clear"/>
            <w:tcMar>
              <w:top w:type="dxa" w:w="105"/>
              <w:left w:type="dxa" w:w="125"/>
              <w:bottom w:type="dxa" w:w="105"/>
              <w:right w:type="dxa" w:w="125"/>
            </w:tcMar>
            <w:vAlign w:val="center"/>
          </w:tcPr>
          <w:p>
            <w:pPr>
              <w:spacing w:after="50" w:line="248"/>
              <w:jc w:val="center"/>
            </w:pPr>
            <w:r>
              <w:rPr>
                <w:b/>
                <w:bCs/>
                <w:color w:val="FFFFFF"/>
                <w:sz w:val="19"/>
                <w:szCs w:val="19"/>
              </w:rPr>
              <w:t xml:space="preserve">#</w:t>
            </w:r>
          </w:p>
        </w:tc>
        <w:tc>
          <w:tcPr>
            <w:tcW w:type="dxa" w:w="5616"/>
            <w:shd w:fill="1F6F3F" w:val="clear"/>
            <w:tcMar>
              <w:top w:type="dxa" w:w="105"/>
              <w:left w:type="dxa" w:w="125"/>
              <w:bottom w:type="dxa" w:w="105"/>
              <w:right w:type="dxa" w:w="125"/>
            </w:tcMar>
            <w:vAlign w:val="center"/>
          </w:tcPr>
          <w:p>
            <w:pPr>
              <w:spacing w:after="50" w:line="248"/>
            </w:pPr>
            <w:r>
              <w:rPr>
                <w:b/>
                <w:bCs/>
                <w:color w:val="FFFFFF"/>
                <w:sz w:val="19"/>
                <w:szCs w:val="19"/>
              </w:rPr>
              <w:t xml:space="preserve">Verificación</w:t>
            </w:r>
          </w:p>
        </w:tc>
        <w:tc>
          <w:tcPr>
            <w:tcW w:type="dxa" w:w="3089"/>
            <w:shd w:fill="1F6F3F" w:val="clear"/>
            <w:tcMar>
              <w:top w:type="dxa" w:w="105"/>
              <w:left w:type="dxa" w:w="125"/>
              <w:bottom w:type="dxa" w:w="105"/>
              <w:right w:type="dxa" w:w="125"/>
            </w:tcMar>
            <w:vAlign w:val="center"/>
          </w:tcPr>
          <w:p>
            <w:pPr>
              <w:spacing w:after="50" w:line="248"/>
            </w:pPr>
            <w:r>
              <w:rPr>
                <w:b/>
                <w:bCs/>
                <w:color w:val="FFFFFF"/>
                <w:sz w:val="19"/>
                <w:szCs w:val="19"/>
              </w:rPr>
              <w:t xml:space="preserve">Responsable</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El umbral de 13 se compara contra el crudo, no contra la escala de 0 a 100</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La segunda condición del WHO-5 (ítem en 0-1) está implementada e independiente del total</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3</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Los subítems 8a/8b y 10a/10b toman el máximo, no la suma</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4</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Las banderas elevan el nivel y nunca lo degradan</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5</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El algoritmo diagnóstico ICD-10 del MDI no está implementado</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6</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Los números de crisis salen de configuración y están verificados</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 · Clínico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7</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La lista de términos críticos está firmada por el asesor clínico</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Clínico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8</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El plano gerencial no puede consultar texto libre ni puntajes identificados</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9</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El umbral de 15 personas por corte se aplica en la vista agregada</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10</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Existe registro de auditoría de todo acceso al plano clínico</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11</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La palabra «diagnóstico» no aparece en ningún texto de la interfaz</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Producto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12</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La pantalla de nivel Rojo no muestra puntaje ni etiqueta de severidad</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Producto · Clínico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13</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señalVigilancia() no escribe nunca en la tabla de clasificaciones</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14</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R1 no se evalúa antes de 14 días de historia</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15</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Las aplicaciones adelantadas se evalúan solo con criterio absoluto</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16</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El mensaje de la regla de silencio se acerca, no reclama</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Producto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17</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Cada pregunta del ASQ ofrece tres opciones y «prefiero no contestar» se procesa como Sí</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18</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Negarse a contestar la pregunta 5 del ASQ clasifica como positiva aguda</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19</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Existe la vía manual para que el profesional eleve un caso con tamizaje negativo</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Desarrollo</w:t>
            </w:r>
          </w:p>
        </w:tc>
      </w:tr>
      <w:tr>
        <w:tc>
          <w:tcPr>
            <w:tcW w:type="dxa" w:w="655"/>
            <w:shd w:fill="F7F9F7" w:val="clear"/>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20</w:t>
            </w:r>
          </w:p>
        </w:tc>
        <w:tc>
          <w:tcPr>
            <w:tcW w:type="dxa" w:w="5616"/>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Un caso Rojo solo se cierra con contacto humano verificado</w:t>
            </w:r>
          </w:p>
        </w:tc>
        <w:tc>
          <w:tcPr>
            <w:tcW w:type="dxa" w:w="3089"/>
            <w:shd w:fill="F7F9F7" w:val="clear"/>
            <w:tcMar>
              <w:top w:type="dxa" w:w="105"/>
              <w:left w:type="dxa" w:w="125"/>
              <w:bottom w:type="dxa" w:w="105"/>
              <w:right w:type="dxa" w:w="125"/>
            </w:tcMar>
            <w:vAlign w:val="center"/>
          </w:tcPr>
          <w:p>
            <w:pPr>
              <w:spacing w:after="50" w:line="248"/>
            </w:pPr>
            <w:r>
              <w:rPr>
                <w:b w:val="false"/>
                <w:bCs w:val="false"/>
                <w:color w:val="23302A"/>
                <w:sz w:val="19"/>
                <w:szCs w:val="19"/>
              </w:rPr>
              <w:t xml:space="preserve">Desarrollo · Clínico</w:t>
            </w:r>
          </w:p>
        </w:tc>
      </w:tr>
      <w:tr>
        <w:tc>
          <w:tcPr>
            <w:tcW w:type="dxa" w:w="655"/>
            <w:tcMar>
              <w:top w:type="dxa" w:w="105"/>
              <w:left w:type="dxa" w:w="125"/>
              <w:bottom w:type="dxa" w:w="105"/>
              <w:right w:type="dxa" w:w="125"/>
            </w:tcMar>
            <w:vAlign w:val="center"/>
          </w:tcPr>
          <w:p>
            <w:pPr>
              <w:spacing w:after="50" w:line="248"/>
              <w:jc w:val="center"/>
            </w:pPr>
            <w:r>
              <w:rPr>
                <w:b w:val="false"/>
                <w:bCs w:val="false"/>
                <w:color w:val="23302A"/>
                <w:sz w:val="19"/>
                <w:szCs w:val="19"/>
              </w:rPr>
              <w:t xml:space="preserve">21</w:t>
            </w:r>
          </w:p>
        </w:tc>
        <w:tc>
          <w:tcPr>
            <w:tcW w:type="dxa" w:w="5616"/>
            <w:tcMar>
              <w:top w:type="dxa" w:w="105"/>
              <w:left w:type="dxa" w:w="125"/>
              <w:bottom w:type="dxa" w:w="105"/>
              <w:right w:type="dxa" w:w="125"/>
            </w:tcMar>
            <w:vAlign w:val="center"/>
          </w:tcPr>
          <w:p>
            <w:pPr>
              <w:spacing w:after="50" w:line="248"/>
            </w:pPr>
            <w:r>
              <w:rPr>
                <w:b w:val="false"/>
                <w:bCs w:val="false"/>
                <w:color w:val="23302A"/>
                <w:sz w:val="19"/>
                <w:szCs w:val="19"/>
              </w:rPr>
              <w:t xml:space="preserve">El protocolo de Rojo agudo cuenta con aprobación escrita del asesor clínico</w:t>
            </w:r>
          </w:p>
        </w:tc>
        <w:tc>
          <w:tcPr>
            <w:tcW w:type="dxa" w:w="3089"/>
            <w:tcMar>
              <w:top w:type="dxa" w:w="105"/>
              <w:left w:type="dxa" w:w="125"/>
              <w:bottom w:type="dxa" w:w="105"/>
              <w:right w:type="dxa" w:w="125"/>
            </w:tcMar>
            <w:vAlign w:val="center"/>
          </w:tcPr>
          <w:p>
            <w:pPr>
              <w:spacing w:after="50" w:line="248"/>
            </w:pPr>
            <w:r>
              <w:rPr>
                <w:b w:val="false"/>
                <w:bCs w:val="false"/>
                <w:color w:val="23302A"/>
                <w:sz w:val="19"/>
                <w:szCs w:val="19"/>
              </w:rPr>
              <w:t xml:space="preserve">Clínico</w:t>
            </w:r>
          </w:p>
        </w:tc>
      </w:tr>
    </w:tbl>
    <w:p>
      <w:pPr>
        <w:spacing w:after="245" w:before="105"/>
      </w:pPr>
      <w:r>
        <w:rPr>
          <w:i/>
          <w:iCs/>
          <w:color w:val="6B7280"/>
          <w:sz w:val="18"/>
          <w:szCs w:val="18"/>
        </w:rPr>
        <w:t xml:space="preserve">Tabla 12. Verificación obligatoria previa a cualquier liberación.</w:t>
      </w:r>
    </w:p>
    <w:sectPr>
      <w:headerReference w:type="default" r:id="rId7"/>
      <w:footerReference w:type="default" r:id="rId8"/>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color w:val="9CA3AF"/>
        <w:sz w:val="16"/>
        <w:szCs w:val="16"/>
      </w:rPr>
      <w:t xml:space="preserve">A Tu Lado  ·  Especificación técnica del motor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2026-08-24T23:01:43.896Z</dcterms:created>
  <dcterms:modified xsi:type="dcterms:W3CDTF">2026-08-24T23:01:43.897Z</dcterms:modified>
</cp:coreProperties>
</file>

<file path=docProps/custom.xml><?xml version="1.0" encoding="utf-8"?>
<Properties xmlns="http://schemas.openxmlformats.org/officeDocument/2006/custom-properties" xmlns:vt="http://schemas.openxmlformats.org/officeDocument/2006/docPropsVTypes"/>
</file>