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Budget</w:t>
      </w:r>
    </w:p>
    <w:p>
      <w:pPr>
        <w:jc w:val="right"/>
      </w:pPr>
      <w:r>
        <w:t>Date: 2026-05-31</w:t>
      </w:r>
    </w:p>
    <w:p>
      <w:pPr>
        <w:pStyle w:val="Heading2"/>
      </w:pPr>
      <w:r>
        <w:t>Client</w:t>
      </w:r>
    </w:p>
    <w:p>
      <w:r>
        <w:t>Ane Garcia</w:t>
        <w:br/>
        <w:t>Tax ID: Y1234567Z</w:t>
        <w:br/>
        <w:t>Paseo de la Concha 10, 20007 Donostia, Spain</w:t>
        <w:br/>
        <w:t>ane.garcia@example.com</w:t>
        <w:br/>
        <w:t>+34 600 000 002</w:t>
      </w:r>
    </w:p>
    <w:p>
      <w:r>
        <w:t>Budget ID: BUD-2026-0001</w:t>
      </w:r>
    </w:p>
    <w:p>
      <w:r>
        <w:t>Valid until: 2026-06-30</w:t>
      </w:r>
    </w:p>
    <w:p>
      <w:pPr>
        <w:pStyle w:val="Heading2"/>
      </w:pPr>
      <w:r>
        <w:t>Products and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Subtotal</w:t>
            </w:r>
          </w:p>
        </w:tc>
      </w:tr>
      <w:tr>
        <w:tc>
          <w:tcPr>
            <w:tcW w:type="dxa" w:w="1728"/>
          </w:tcPr>
          <w:p>
            <w:r>
              <w:t>Automation requirements workshop</w:t>
            </w:r>
          </w:p>
        </w:tc>
        <w:tc>
          <w:tcPr>
            <w:tcW w:type="dxa" w:w="1728"/>
          </w:tcPr>
          <w:p>
            <w:r>
              <w:t>350.00 EUR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350.00 EUR</w:t>
            </w:r>
          </w:p>
        </w:tc>
      </w:tr>
      <w:tr>
        <w:tc>
          <w:tcPr>
            <w:tcW w:type="dxa" w:w="1728"/>
          </w:tcPr>
          <w:p>
            <w:r>
              <w:t>Prototype document-generation workflow</w:t>
            </w:r>
          </w:p>
        </w:tc>
        <w:tc>
          <w:tcPr>
            <w:tcW w:type="dxa" w:w="1728"/>
          </w:tcPr>
          <w:p>
            <w:r>
              <w:t>120.00 EUR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720.00 EUR</w:t>
            </w:r>
          </w:p>
        </w:tc>
      </w:tr>
      <w:tr>
        <w:tc>
          <w:tcPr>
            <w:tcW w:type="dxa" w:w="1728"/>
          </w:tcPr>
          <w:p>
            <w:r>
              <w:t>Deployment and handover session</w:t>
            </w:r>
          </w:p>
        </w:tc>
        <w:tc>
          <w:tcPr>
            <w:tcW w:type="dxa" w:w="1728"/>
          </w:tcPr>
          <w:p>
            <w:r>
              <w:t>180.00 EUR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180.00 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1250.00 EUR</w:t>
            </w:r>
          </w:p>
        </w:tc>
      </w:tr>
      <w:tr>
        <w:tc>
          <w:tcPr>
            <w:tcW w:type="dxa" w:w="4320"/>
          </w:tcPr>
          <w:p>
            <w:r>
              <w:t>IVA (21%)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262.50 EUR</w:t>
            </w:r>
          </w:p>
        </w:tc>
      </w:tr>
      <w:tr>
        <w:tc>
          <w:tcPr>
            <w:tcW w:type="dxa" w:w="4320"/>
          </w:tcPr>
          <w:p>
            <w:r>
              <w:t>Gross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1512.50 EUR</w:t>
            </w:r>
          </w:p>
        </w:tc>
      </w:tr>
    </w:tbl>
    <w:p>
      <w:pPr>
        <w:pStyle w:val="Heading2"/>
      </w:pPr>
      <w:r>
        <w:t>Notes</w:t>
      </w:r>
    </w:p>
    <w:p>
      <w:r>
        <w:t>This budget is valid until the date shown above and excludes scope changes requested after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Northwind Robotics SL | B12345678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b/>
              <w:sz w:val="28"/>
            </w:rPr>
            <w:t>Northwind Robotics SL</w:t>
          </w:r>
        </w:p>
      </w:tc>
      <w:tc>
        <w:tcPr>
          <w:tcW w:type="dxa" w:w="4680"/>
        </w:tcPr>
        <w:p>
          <w:pPr>
            <w:jc w:val="right"/>
          </w:pPr>
          <w:r>
            <w:t>Northwind Robotics SL</w:t>
            <w:br/>
            <w:t>Tax ID: B12345678</w:t>
            <w:br/>
            <w:t>Calle de la Innovacion 42, 28020 Madrid, Spain</w:t>
            <w:br/>
            <w:t>billing@northwind-robotics.example | +34 910 000 001</w:t>
            <w:br/>
            <w:t>https://northwind-robotics.example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