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569dd3daf36e35a23e1ebb7c93fbcf474bca218"/>
    <w:p>
      <w:pPr>
        <w:pStyle w:val="Heading1"/>
      </w:pPr>
      <w:r>
        <w:t xml:space="preserve">Evaluating mxMCP Email Search: The Marchwood Benchmark</w:t>
      </w:r>
    </w:p>
    <w:p>
      <w:pPr>
        <w:pStyle w:val="FirstParagraph"/>
      </w:pPr>
      <w:r>
        <w:rPr>
          <w:b/>
          <w:bCs/>
        </w:rPr>
        <w:t xml:space="preserve">Run · August 19, 2026 · Result: 24 / 24 — passed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mxHERO’s</w:t>
      </w:r>
      <w:r>
        <w:t xml:space="preserve"> </w:t>
      </w:r>
      <w:r>
        <w:rPr>
          <w:rStyle w:val="VerbatimChar"/>
        </w:rPr>
        <w:t xml:space="preserve">email_search</w:t>
      </w:r>
      <w:r>
        <w:t xml:space="preserve"> </w:t>
      </w:r>
      <w:r>
        <w:t xml:space="preserve">connector was evaluated against an adversarial retrieval</w:t>
      </w:r>
      <w:r>
        <w:t xml:space="preserve"> </w:t>
      </w:r>
      <w:r>
        <w:t xml:space="preserve">benchmark of 6,000 messages, in which a single decisive document is surrounded by</w:t>
      </w:r>
      <w:r>
        <w:t xml:space="preserve"> </w:t>
      </w:r>
      <w:r>
        <w:t xml:space="preserve">approximately 155 purpose-built decoys engineered to defeat naive search — a</w:t>
      </w:r>
      <w:r>
        <w:t xml:space="preserve"> </w:t>
      </w:r>
      <w:r>
        <w:t xml:space="preserve">duplicate file number at a second office, five firms sharing a name, and a</w:t>
      </w:r>
      <w:r>
        <w:t xml:space="preserve"> </w:t>
      </w:r>
      <w:r>
        <w:t xml:space="preserve">near-identical letter that expired and would invert the correct answer. Four</w:t>
      </w:r>
      <w:r>
        <w:t xml:space="preserve"> </w:t>
      </w:r>
      <w:r>
        <w:t xml:space="preserve">questions were run blind and scored on recall, precision and correctness of the</w:t>
      </w:r>
      <w:r>
        <w:t xml:space="preserve"> </w:t>
      </w:r>
      <w:r>
        <w:t xml:space="preserve">final verdict. The connector scored 24 of 24, surfacing the critical document at</w:t>
      </w:r>
      <w:r>
        <w:t xml:space="preserve"> </w:t>
      </w:r>
      <w:r>
        <w:t xml:space="preserve">rank 4 on the first search and citing zero decoys across all four answers. On the</w:t>
      </w:r>
      <w:r>
        <w:t xml:space="preserve"> </w:t>
      </w:r>
      <w:r>
        <w:t xml:space="preserve">query designed to force a collision between two matters sharing an identifier, it</w:t>
      </w:r>
      <w:r>
        <w:t xml:space="preserve"> </w:t>
      </w:r>
      <w:r>
        <w:t xml:space="preserve">disclosed the ambiguity unprompted rather than merging them. The evaluation</w:t>
      </w:r>
      <w:r>
        <w:t xml:space="preserve"> </w:t>
      </w:r>
      <w:r>
        <w:t xml:space="preserve">supports the commercial claim that an email archive can answer questions an</w:t>
      </w:r>
      <w:r>
        <w:t xml:space="preserve"> </w:t>
      </w:r>
      <w:r>
        <w:t xml:space="preserve">organization’s system of record gets wrong. One operational dependency was</w:t>
      </w:r>
      <w:r>
        <w:t xml:space="preserve"> </w:t>
      </w:r>
      <w:r>
        <w:t xml:space="preserve">identified: retrieval quality degrades sharply when the connector’s identifier-</w:t>
      </w:r>
      <w:r>
        <w:t xml:space="preserve"> </w:t>
      </w:r>
      <w:r>
        <w:t xml:space="preserve">pinning parameter is omitted, which argues for enforcing it in agent</w:t>
      </w:r>
      <w:r>
        <w:t xml:space="preserve"> </w:t>
      </w:r>
      <w:r>
        <w:t xml:space="preserve">configuration rather than leaving it to model discretion.</w:t>
      </w:r>
    </w:p>
    <w:bookmarkEnd w:id="9"/>
    <w:bookmarkStart w:id="10" w:name="what-was-tested"/>
    <w:p>
      <w:pPr>
        <w:pStyle w:val="Heading2"/>
      </w:pPr>
      <w:r>
        <w:t xml:space="preserve">What was tested</w:t>
      </w:r>
    </w:p>
    <w:p>
      <w:pPr>
        <w:pStyle w:val="FirstParagraph"/>
      </w:pPr>
      <w:r>
        <w:t xml:space="preserve">mxHERO’s</w:t>
      </w:r>
      <w:r>
        <w:t xml:space="preserve"> </w:t>
      </w:r>
      <w:r>
        <w:rPr>
          <w:rStyle w:val="VerbatimChar"/>
        </w:rPr>
        <w:t xml:space="preserve">email_search</w:t>
      </w:r>
      <w:r>
        <w:t xml:space="preserve"> </w:t>
      </w:r>
      <w:r>
        <w:t xml:space="preserve">connector was scored against a purpose-built adversarial</w:t>
      </w:r>
      <w:r>
        <w:t xml:space="preserve"> </w:t>
      </w:r>
      <w:r>
        <w:t xml:space="preserve">benchmark: a 6,000-message synthetic email archive modeled on an SEC enforcement</w:t>
      </w:r>
      <w:r>
        <w:t xml:space="preserve"> </w:t>
      </w:r>
      <w:r>
        <w:t xml:space="preserve">matter. Buried in it is a single decisive document — a June 2, 2011 letter in</w:t>
      </w:r>
      <w:r>
        <w:t xml:space="preserve"> </w:t>
      </w:r>
      <w:r>
        <w:t xml:space="preserve">which a registrant’s compliance officer accepts a finding and gives a written</w:t>
      </w:r>
      <w:r>
        <w:t xml:space="preserve"> </w:t>
      </w:r>
      <w:r>
        <w:t xml:space="preserve">undertaking</w:t>
      </w:r>
      <w:r>
        <w:t xml:space="preserve"> </w:t>
      </w:r>
      <w:r>
        <w:t xml:space="preserve">“without an expiration date.”</w:t>
      </w:r>
      <w:r>
        <w:t xml:space="preserve"> </w:t>
      </w:r>
      <w:r>
        <w:t xml:space="preserve">Fourteen years later, that letter is</w:t>
      </w:r>
      <w:r>
        <w:t xml:space="preserve"> </w:t>
      </w:r>
      <w:r>
        <w:t xml:space="preserve">the difference between a $4.3 million enforcement action collapsing and a $2.15</w:t>
      </w:r>
      <w:r>
        <w:t xml:space="preserve"> </w:t>
      </w:r>
      <w:r>
        <w:t xml:space="preserve">million settlement.</w:t>
      </w:r>
    </w:p>
    <w:p>
      <w:pPr>
        <w:pStyle w:val="BodyText"/>
      </w:pPr>
      <w:r>
        <w:t xml:space="preserve">The archive is built to punish retrieval that merely looks good. Around the</w:t>
      </w:r>
      <w:r>
        <w:t xml:space="preserve"> </w:t>
      </w:r>
      <w:r>
        <w:t xml:space="preserve">40-message story thread sit roughly 155 hand-built decoys: a second examination</w:t>
      </w:r>
      <w:r>
        <w:t xml:space="preserve"> </w:t>
      </w:r>
      <w:r>
        <w:t xml:space="preserve">carrying the identical file number at a different regional office, five firms</w:t>
      </w:r>
      <w:r>
        <w:t xml:space="preserve"> </w:t>
      </w:r>
      <w:r>
        <w:t xml:space="preserve">sharing the registrant’s name, a near-identical undertaking letter dated two days</w:t>
      </w:r>
      <w:r>
        <w:t xml:space="preserve"> </w:t>
      </w:r>
      <w:r>
        <w:t xml:space="preserve">earlier at a different adviser — one that</w:t>
      </w:r>
      <w:r>
        <w:t xml:space="preserve"> </w:t>
      </w:r>
      <w:r>
        <w:rPr>
          <w:i/>
          <w:iCs/>
        </w:rPr>
        <w:t xml:space="preserve">expired</w:t>
      </w:r>
      <w:r>
        <w:t xml:space="preserve">, and would invert the answer</w:t>
      </w:r>
      <w:r>
        <w:t xml:space="preserve"> </w:t>
      </w:r>
      <w:r>
        <w:t xml:space="preserve">if cited — and the same author writing the same kind of letter for a different</w:t>
      </w:r>
      <w:r>
        <w:t xml:space="preserve"> </w:t>
      </w:r>
      <w:r>
        <w:t xml:space="preserve">employer. The remaining ~5,800 messages are realistic bulk traffic.</w:t>
      </w:r>
    </w:p>
    <w:p>
      <w:pPr>
        <w:pStyle w:val="BodyText"/>
      </w:pPr>
      <w:r>
        <w:t xml:space="preserve">Four queries were run blind against the live connector, then scored on three</w:t>
      </w:r>
      <w:r>
        <w:t xml:space="preserve"> </w:t>
      </w:r>
      <w:r>
        <w:t xml:space="preserve">independent axes — recall (did it find the right documents), precision (did it</w:t>
      </w:r>
      <w:r>
        <w:t xml:space="preserve"> </w:t>
      </w:r>
      <w:r>
        <w:t xml:space="preserve">avoid the decoys), and verdict (was the final answer correct). Two points per</w:t>
      </w:r>
      <w:r>
        <w:t xml:space="preserve"> </w:t>
      </w:r>
      <w:r>
        <w:t xml:space="preserve">axis, four queries, 24 points available.</w:t>
      </w:r>
    </w:p>
    <w:bookmarkEnd w:id="10"/>
    <w:bookmarkStart w:id="11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The connector scored</w:t>
      </w:r>
      <w:r>
        <w:t xml:space="preserve"> </w:t>
      </w:r>
      <w:r>
        <w:rPr>
          <w:b/>
          <w:bCs/>
        </w:rPr>
        <w:t xml:space="preserve">full marks on every axis of every query</w:t>
      </w:r>
      <w:r>
        <w:t xml:space="preserve">. The critical</w:t>
      </w:r>
      <w:r>
        <w:t xml:space="preserve"> </w:t>
      </w:r>
      <w:r>
        <w:t xml:space="preserve">document surfaced at rank 4 on the very first search, with its signed PDF</w:t>
      </w:r>
      <w:r>
        <w:t xml:space="preserve"> </w:t>
      </w:r>
      <w:r>
        <w:t xml:space="preserve">attachment intact. Zero decoys were cited across all four answers.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 there a written commitment?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does the system of record disagree?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Retrieve everything on file 2011-0447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did the failure recur, and who is responsible?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The hardest query was the third. Two entirely separate matters share the file</w:t>
      </w:r>
      <w:r>
        <w:t xml:space="preserve"> </w:t>
      </w:r>
      <w:r>
        <w:t xml:space="preserve">number by design. Rather than silently merging them — the failure mode the test</w:t>
      </w:r>
      <w:r>
        <w:t xml:space="preserve"> </w:t>
      </w:r>
      <w:r>
        <w:t xml:space="preserve">was built to catch — the connector disclosed the ambiguity unprompted, naming the</w:t>
      </w:r>
      <w:r>
        <w:t xml:space="preserve"> </w:t>
      </w:r>
      <w:r>
        <w:t xml:space="preserve">two counterparties and warning that the identifier is unique only within the</w:t>
      </w:r>
      <w:r>
        <w:t xml:space="preserve"> </w:t>
      </w:r>
      <w:r>
        <w:t xml:space="preserve">office that issued it. Correct disambiguation followed on a scoped second pass.</w:t>
      </w:r>
    </w:p>
    <w:bookmarkEnd w:id="11"/>
    <w:bookmarkStart w:id="12" w:name="why-this-matters-commercially"/>
    <w:p>
      <w:pPr>
        <w:pStyle w:val="Heading2"/>
      </w:pPr>
      <w:r>
        <w:t xml:space="preserve">Why this matters commercially</w:t>
      </w:r>
    </w:p>
    <w:p>
      <w:pPr>
        <w:pStyle w:val="FirstParagraph"/>
      </w:pPr>
      <w:r>
        <w:t xml:space="preserve">The demo claim is that an email archive answers questions an organization’s</w:t>
      </w:r>
      <w:r>
        <w:t xml:space="preserve"> </w:t>
      </w:r>
      <w:r>
        <w:t xml:space="preserve">system of record gets wrong. This benchmark makes that claim falsifiable. Here,</w:t>
      </w:r>
      <w:r>
        <w:t xml:space="preserve"> </w:t>
      </w:r>
      <w:r>
        <w:t xml:space="preserve">both parties’ case systems had lost the correspondence in a 2016 platform</w:t>
      </w:r>
      <w:r>
        <w:t xml:space="preserve"> </w:t>
      </w:r>
      <w:r>
        <w:t xml:space="preserve">migration, and every person who negotiated it had left. The archive was the only</w:t>
      </w:r>
      <w:r>
        <w:t xml:space="preserve"> </w:t>
      </w:r>
      <w:r>
        <w:t xml:space="preserve">surviving witness — and the connector found it, alongside a second document</w:t>
      </w:r>
      <w:r>
        <w:t xml:space="preserve"> </w:t>
      </w:r>
      <w:r>
        <w:t xml:space="preserve">showing the counterparty had already honored the commitment once, unprompted, in</w:t>
      </w:r>
      <w:r>
        <w:t xml:space="preserve"> </w:t>
      </w:r>
      <w:r>
        <w:t xml:space="preserve">2013. That second document is what converts</w:t>
      </w:r>
      <w:r>
        <w:t xml:space="preserve"> </w:t>
      </w:r>
      <w:r>
        <w:t xml:space="preserve">“a document was found”</w:t>
      </w:r>
      <w:r>
        <w:t xml:space="preserve"> </w:t>
      </w:r>
      <w:r>
        <w:t xml:space="preserve">into</w:t>
      </w:r>
      <w:r>
        <w:t xml:space="preserve"> </w:t>
      </w:r>
      <w:r>
        <w:t xml:space="preserve">“they</w:t>
      </w:r>
      <w:r>
        <w:t xml:space="preserve"> </w:t>
      </w:r>
      <w:r>
        <w:t xml:space="preserve">already agreed, twice.”</w:t>
      </w:r>
    </w:p>
    <w:bookmarkEnd w:id="12"/>
    <w:bookmarkStart w:id="13" w:name="one-engineering-finding"/>
    <w:p>
      <w:pPr>
        <w:pStyle w:val="Heading2"/>
      </w:pPr>
      <w:r>
        <w:t xml:space="preserve">One engineering finding</w:t>
      </w:r>
    </w:p>
    <w:p>
      <w:pPr>
        <w:pStyle w:val="FirstParagraph"/>
      </w:pPr>
      <w:r>
        <w:t xml:space="preserve">Search quality depends materially on the connector’s</w:t>
      </w:r>
      <w:r>
        <w:t xml:space="preserve"> </w:t>
      </w:r>
      <w:r>
        <w:rPr>
          <w:rStyle w:val="VerbatimChar"/>
        </w:rPr>
        <w:t xml:space="preserve">Pin</w:t>
      </w:r>
      <w:r>
        <w:t xml:space="preserve"> </w:t>
      </w:r>
      <w:r>
        <w:t xml:space="preserve">parameter, which</w:t>
      </w:r>
      <w:r>
        <w:t xml:space="preserve"> </w:t>
      </w:r>
      <w:r>
        <w:t xml:space="preserve">guarantees documents containing a specific identifier appear in results. One</w:t>
      </w:r>
      <w:r>
        <w:t xml:space="preserve"> </w:t>
      </w:r>
      <w:r>
        <w:t xml:space="preserve">query was deliberately run without it: 48 of 50 returned messages were noise, and</w:t>
      </w:r>
      <w:r>
        <w:t xml:space="preserve"> </w:t>
      </w:r>
      <w:r>
        <w:t xml:space="preserve">the two relevant hits survived only because the date filter was narrow. The same</w:t>
      </w:r>
      <w:r>
        <w:t xml:space="preserve"> </w:t>
      </w:r>
      <w:r>
        <w:t xml:space="preserve">question with</w:t>
      </w:r>
      <w:r>
        <w:t xml:space="preserve"> </w:t>
      </w:r>
      <w:r>
        <w:rPr>
          <w:rStyle w:val="VerbatimChar"/>
        </w:rPr>
        <w:t xml:space="preserve">Pin</w:t>
      </w:r>
      <w:r>
        <w:t xml:space="preserve"> </w:t>
      </w:r>
      <w:r>
        <w:t xml:space="preserve">set returns the answer at rank 1. This is worth encoding as</w:t>
      </w:r>
      <w:r>
        <w:t xml:space="preserve"> </w:t>
      </w:r>
      <w:r>
        <w:t xml:space="preserve">default agent behavior rather than leaving to model discretion.</w:t>
      </w:r>
    </w:p>
    <w:bookmarkEnd w:id="13"/>
    <w:bookmarkStart w:id="15" w:name="sources"/>
    <w:p>
      <w:pPr>
        <w:pStyle w:val="Heading2"/>
      </w:pPr>
      <w:r>
        <w:t xml:space="preserve">Sources</w:t>
      </w:r>
    </w:p>
    <w:p>
      <w:pPr>
        <w:pStyle w:val="FirstParagraph"/>
      </w:pPr>
      <w:r>
        <w:t xml:space="preserve">All email and attachment contect used in this test, including grading key and build notes can be found in the following GitHub repository:</w:t>
      </w:r>
    </w:p>
    <w:p>
      <w:pPr>
        <w:pStyle w:val="BodyText"/>
      </w:pPr>
      <w:hyperlink r:id="rId14">
        <w:r>
          <w:rPr>
            <w:rStyle w:val="Hyperlink"/>
          </w:rPr>
          <w:t xml:space="preserve">GitHub - gov/SEC</w:t>
        </w:r>
      </w:hyperlink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github.com/mxaiorg/sample-emails/tree/main/industry/gov/SE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github.com/mxaiorg/sample-emails/tree/main/industry/gov/SE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2026-08-19T12:36:31Z</dcterms:created>
  <dcterms:modified xsi:type="dcterms:W3CDTF">2026-08-19T12:36:31Z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