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0DF8D" w14:textId="448DDED6" w:rsidR="0087341F" w:rsidRDefault="00AD7971" w:rsidP="00AD7971">
      <w:pPr>
        <w:spacing w:line="480" w:lineRule="auto"/>
        <w:jc w:val="center"/>
        <w:rPr>
          <w:rFonts w:ascii="Times New Roman" w:hAnsi="Times New Roman" w:cs="Times New Roman"/>
          <w:sz w:val="32"/>
          <w:szCs w:val="32"/>
        </w:rPr>
      </w:pPr>
      <w:r>
        <w:rPr>
          <w:rFonts w:ascii="Times New Roman" w:hAnsi="Times New Roman" w:cs="Times New Roman"/>
          <w:sz w:val="32"/>
          <w:szCs w:val="32"/>
        </w:rPr>
        <w:t>High and Low Range Comparison</w:t>
      </w:r>
    </w:p>
    <w:p w14:paraId="3CA195C2" w14:textId="0E5CD46E" w:rsidR="00AD7971" w:rsidRDefault="00AD7971" w:rsidP="00AD7971">
      <w:pPr>
        <w:spacing w:line="480" w:lineRule="auto"/>
        <w:rPr>
          <w:rFonts w:ascii="Times New Roman" w:hAnsi="Times New Roman" w:cs="Times New Roman"/>
          <w:sz w:val="24"/>
          <w:szCs w:val="24"/>
        </w:rPr>
      </w:pPr>
      <w:r>
        <w:rPr>
          <w:rFonts w:ascii="Times New Roman" w:hAnsi="Times New Roman" w:cs="Times New Roman"/>
          <w:sz w:val="24"/>
          <w:szCs w:val="24"/>
        </w:rPr>
        <w:tab/>
      </w:r>
      <w:r w:rsidR="009816CB">
        <w:rPr>
          <w:rFonts w:ascii="Times New Roman" w:hAnsi="Times New Roman" w:cs="Times New Roman"/>
          <w:sz w:val="24"/>
          <w:szCs w:val="24"/>
        </w:rPr>
        <w:t xml:space="preserve">In previous sections, we look at the high range and low range instruments isolated and compared their recordings against each other. We did this primarily to determine trends, consistencies, and inconsistencies in the data. In our comparisons, we found that some of our open E string harmonic recordings exhibited super-sonic behavior while some did not. </w:t>
      </w:r>
      <w:r w:rsidR="00C2360A">
        <w:rPr>
          <w:rFonts w:ascii="Times New Roman" w:hAnsi="Times New Roman" w:cs="Times New Roman"/>
          <w:sz w:val="24"/>
          <w:szCs w:val="24"/>
        </w:rPr>
        <w:t xml:space="preserve">We also saw that the open G string recordings varied widely as expected, since the open G string is anecdotally considered to be a good “tell” of a quality violin. </w:t>
      </w:r>
    </w:p>
    <w:p w14:paraId="03756D6E" w14:textId="3252ED95" w:rsidR="000C51C0" w:rsidRDefault="000C51C0" w:rsidP="00AD797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this section, our goal is to compare instruments across varying price ranges to determine what objective measures from the data can be used to determine if one instrument is of higher quality than another. </w:t>
      </w:r>
      <w:r w:rsidR="00C20F5A">
        <w:rPr>
          <w:rFonts w:ascii="Times New Roman" w:hAnsi="Times New Roman" w:cs="Times New Roman"/>
          <w:sz w:val="24"/>
          <w:szCs w:val="24"/>
        </w:rPr>
        <w:t xml:space="preserve">We’ll be looking at the same instruments and same recordings from previous section, but this time, we’ll be comparing high price instruments against low price instruments. Specifically, we’ll be looking at the </w:t>
      </w:r>
      <w:proofErr w:type="spellStart"/>
      <w:r w:rsidR="00C20F5A">
        <w:rPr>
          <w:rFonts w:ascii="Times New Roman" w:hAnsi="Times New Roman" w:cs="Times New Roman"/>
          <w:sz w:val="24"/>
          <w:szCs w:val="24"/>
        </w:rPr>
        <w:t>Kono</w:t>
      </w:r>
      <w:proofErr w:type="spellEnd"/>
      <w:r w:rsidR="00C20F5A">
        <w:rPr>
          <w:rFonts w:ascii="Times New Roman" w:hAnsi="Times New Roman" w:cs="Times New Roman"/>
          <w:sz w:val="24"/>
          <w:szCs w:val="24"/>
        </w:rPr>
        <w:t xml:space="preserve"> and one of the </w:t>
      </w:r>
      <w:proofErr w:type="spellStart"/>
      <w:r w:rsidR="00C20F5A">
        <w:rPr>
          <w:rFonts w:ascii="Times New Roman" w:hAnsi="Times New Roman" w:cs="Times New Roman"/>
          <w:sz w:val="24"/>
          <w:szCs w:val="24"/>
        </w:rPr>
        <w:t>Kutz</w:t>
      </w:r>
      <w:proofErr w:type="spellEnd"/>
      <w:r w:rsidR="00C20F5A">
        <w:rPr>
          <w:rFonts w:ascii="Times New Roman" w:hAnsi="Times New Roman" w:cs="Times New Roman"/>
          <w:sz w:val="24"/>
          <w:szCs w:val="24"/>
        </w:rPr>
        <w:t xml:space="preserve"> #100 violins.</w:t>
      </w:r>
    </w:p>
    <w:p w14:paraId="18D91C37" w14:textId="2E32A1DA" w:rsidR="00C20F5A" w:rsidRDefault="00C20F5A" w:rsidP="00AD7971">
      <w:pPr>
        <w:spacing w:line="480" w:lineRule="auto"/>
        <w:rPr>
          <w:rFonts w:ascii="Times New Roman" w:hAnsi="Times New Roman" w:cs="Times New Roman"/>
          <w:sz w:val="24"/>
          <w:szCs w:val="24"/>
        </w:rPr>
      </w:pPr>
      <w:r>
        <w:rPr>
          <w:rFonts w:ascii="Times New Roman" w:hAnsi="Times New Roman" w:cs="Times New Roman"/>
          <w:sz w:val="24"/>
          <w:szCs w:val="24"/>
        </w:rPr>
        <w:tab/>
        <w:t>First, we’ll look at the open G string recordings</w:t>
      </w:r>
      <w:r w:rsidR="00CD3C6E">
        <w:rPr>
          <w:rFonts w:ascii="Times New Roman" w:hAnsi="Times New Roman" w:cs="Times New Roman"/>
          <w:sz w:val="24"/>
          <w:szCs w:val="24"/>
        </w:rPr>
        <w:t xml:space="preserve"> </w:t>
      </w:r>
      <w:r w:rsidR="00C732ED">
        <w:rPr>
          <w:rFonts w:ascii="Times New Roman" w:hAnsi="Times New Roman" w:cs="Times New Roman"/>
          <w:sz w:val="24"/>
          <w:szCs w:val="24"/>
        </w:rPr>
        <w:t xml:space="preserve">for these two instruments. The harmonic intensity plots for these two recordings can be seen in Figure 1. </w:t>
      </w:r>
    </w:p>
    <w:p w14:paraId="6777FD63" w14:textId="6D077B52" w:rsidR="00302552" w:rsidRDefault="00302552" w:rsidP="00AD7971">
      <w:pPr>
        <w:spacing w:line="480" w:lineRule="auto"/>
        <w:rPr>
          <w:rFonts w:ascii="Times New Roman" w:hAnsi="Times New Roman" w:cs="Times New Roman"/>
          <w:sz w:val="24"/>
          <w:szCs w:val="24"/>
        </w:rPr>
      </w:pPr>
    </w:p>
    <w:p w14:paraId="5312EFB3" w14:textId="18828A0F" w:rsidR="000B64CA" w:rsidRDefault="000B64CA" w:rsidP="00AD7971">
      <w:pPr>
        <w:spacing w:line="480" w:lineRule="auto"/>
        <w:rPr>
          <w:rFonts w:ascii="Times New Roman" w:hAnsi="Times New Roman" w:cs="Times New Roman"/>
          <w:sz w:val="24"/>
          <w:szCs w:val="24"/>
        </w:rPr>
      </w:pPr>
    </w:p>
    <w:p w14:paraId="62F727BB" w14:textId="3EBC194F" w:rsidR="000B64CA" w:rsidRDefault="000B64CA" w:rsidP="00AD7971">
      <w:pPr>
        <w:spacing w:line="480" w:lineRule="auto"/>
        <w:rPr>
          <w:rFonts w:ascii="Times New Roman" w:hAnsi="Times New Roman" w:cs="Times New Roman"/>
          <w:sz w:val="24"/>
          <w:szCs w:val="24"/>
        </w:rPr>
      </w:pPr>
    </w:p>
    <w:p w14:paraId="5123C683" w14:textId="64836F1F" w:rsidR="000B64CA" w:rsidRDefault="000B64CA" w:rsidP="00AD7971">
      <w:pPr>
        <w:spacing w:line="480" w:lineRule="auto"/>
        <w:rPr>
          <w:rFonts w:ascii="Times New Roman" w:hAnsi="Times New Roman" w:cs="Times New Roman"/>
          <w:sz w:val="24"/>
          <w:szCs w:val="24"/>
        </w:rPr>
      </w:pPr>
    </w:p>
    <w:p w14:paraId="214AE8CE" w14:textId="51D1F9EE" w:rsidR="000B64CA" w:rsidRDefault="000B64CA" w:rsidP="00AD7971">
      <w:pPr>
        <w:spacing w:line="480" w:lineRule="auto"/>
        <w:rPr>
          <w:rFonts w:ascii="Times New Roman" w:hAnsi="Times New Roman" w:cs="Times New Roman"/>
          <w:sz w:val="24"/>
          <w:szCs w:val="24"/>
        </w:rPr>
      </w:pPr>
    </w:p>
    <w:p w14:paraId="7F6E0A28" w14:textId="3B88938C" w:rsidR="000B64CA" w:rsidRDefault="000B64CA" w:rsidP="00AD7971">
      <w:pPr>
        <w:spacing w:line="480" w:lineRule="auto"/>
        <w:rPr>
          <w:rFonts w:ascii="Times New Roman" w:hAnsi="Times New Roman" w:cs="Times New Roman"/>
          <w:sz w:val="24"/>
          <w:szCs w:val="24"/>
        </w:rPr>
      </w:pPr>
    </w:p>
    <w:p w14:paraId="322E857A" w14:textId="7F1A0F7C" w:rsidR="000B64CA" w:rsidRDefault="00A638A8" w:rsidP="00A638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86AB19" wp14:editId="5D82D45E">
            <wp:extent cx="3647088" cy="2735317"/>
            <wp:effectExtent l="0" t="0" r="0" b="0"/>
            <wp:docPr id="1" name="Picture 1" descr="Chart, hist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3655370" cy="2741529"/>
                    </a:xfrm>
                    <a:prstGeom prst="rect">
                      <a:avLst/>
                    </a:prstGeom>
                  </pic:spPr>
                </pic:pic>
              </a:graphicData>
            </a:graphic>
          </wp:inline>
        </w:drawing>
      </w:r>
    </w:p>
    <w:p w14:paraId="25D0F31F" w14:textId="158CAFB4" w:rsidR="00A638A8" w:rsidRDefault="00A638A8" w:rsidP="00A638A8">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Open G Harmonic Intensities</w:t>
      </w:r>
    </w:p>
    <w:p w14:paraId="513D5CA3" w14:textId="34A909EC" w:rsidR="00A638A8" w:rsidRDefault="00A638A8" w:rsidP="00A638A8">
      <w:pPr>
        <w:spacing w:line="480" w:lineRule="auto"/>
        <w:rPr>
          <w:rFonts w:ascii="Times New Roman" w:hAnsi="Times New Roman" w:cs="Times New Roman"/>
          <w:sz w:val="24"/>
          <w:szCs w:val="24"/>
        </w:rPr>
      </w:pPr>
      <w:r>
        <w:rPr>
          <w:rFonts w:ascii="Times New Roman" w:hAnsi="Times New Roman" w:cs="Times New Roman"/>
          <w:sz w:val="24"/>
          <w:szCs w:val="24"/>
        </w:rPr>
        <w:tab/>
      </w:r>
      <w:r w:rsidR="00F54083">
        <w:rPr>
          <w:rFonts w:ascii="Times New Roman" w:hAnsi="Times New Roman" w:cs="Times New Roman"/>
          <w:sz w:val="24"/>
          <w:szCs w:val="24"/>
        </w:rPr>
        <w:t xml:space="preserve">The plot of the harmonic intensities of the open G recording for the </w:t>
      </w:r>
      <w:proofErr w:type="spellStart"/>
      <w:r w:rsidR="00F54083">
        <w:rPr>
          <w:rFonts w:ascii="Times New Roman" w:hAnsi="Times New Roman" w:cs="Times New Roman"/>
          <w:sz w:val="24"/>
          <w:szCs w:val="24"/>
        </w:rPr>
        <w:t>Kono</w:t>
      </w:r>
      <w:proofErr w:type="spellEnd"/>
      <w:r w:rsidR="00F54083">
        <w:rPr>
          <w:rFonts w:ascii="Times New Roman" w:hAnsi="Times New Roman" w:cs="Times New Roman"/>
          <w:sz w:val="24"/>
          <w:szCs w:val="24"/>
        </w:rPr>
        <w:t xml:space="preserve"> and </w:t>
      </w:r>
      <w:proofErr w:type="spellStart"/>
      <w:r w:rsidR="00F54083">
        <w:rPr>
          <w:rFonts w:ascii="Times New Roman" w:hAnsi="Times New Roman" w:cs="Times New Roman"/>
          <w:sz w:val="24"/>
          <w:szCs w:val="24"/>
        </w:rPr>
        <w:t>Kutz</w:t>
      </w:r>
      <w:proofErr w:type="spellEnd"/>
      <w:r w:rsidR="00F54083">
        <w:rPr>
          <w:rFonts w:ascii="Times New Roman" w:hAnsi="Times New Roman" w:cs="Times New Roman"/>
          <w:sz w:val="24"/>
          <w:szCs w:val="24"/>
        </w:rPr>
        <w:t xml:space="preserve"> #100 can be seen above, with the </w:t>
      </w:r>
      <w:proofErr w:type="spellStart"/>
      <w:r w:rsidR="00F54083">
        <w:rPr>
          <w:rFonts w:ascii="Times New Roman" w:hAnsi="Times New Roman" w:cs="Times New Roman"/>
          <w:sz w:val="24"/>
          <w:szCs w:val="24"/>
        </w:rPr>
        <w:t>Kono</w:t>
      </w:r>
      <w:proofErr w:type="spellEnd"/>
      <w:r w:rsidR="00F54083">
        <w:rPr>
          <w:rFonts w:ascii="Times New Roman" w:hAnsi="Times New Roman" w:cs="Times New Roman"/>
          <w:sz w:val="24"/>
          <w:szCs w:val="24"/>
        </w:rPr>
        <w:t xml:space="preserve"> in blue and the </w:t>
      </w:r>
      <w:proofErr w:type="spellStart"/>
      <w:r w:rsidR="00F54083">
        <w:rPr>
          <w:rFonts w:ascii="Times New Roman" w:hAnsi="Times New Roman" w:cs="Times New Roman"/>
          <w:sz w:val="24"/>
          <w:szCs w:val="24"/>
        </w:rPr>
        <w:t>Kutz</w:t>
      </w:r>
      <w:proofErr w:type="spellEnd"/>
      <w:r w:rsidR="00F54083">
        <w:rPr>
          <w:rFonts w:ascii="Times New Roman" w:hAnsi="Times New Roman" w:cs="Times New Roman"/>
          <w:sz w:val="24"/>
          <w:szCs w:val="24"/>
        </w:rPr>
        <w:t xml:space="preserve"> in orange. The peak for the </w:t>
      </w:r>
      <w:proofErr w:type="spellStart"/>
      <w:r w:rsidR="00F54083">
        <w:rPr>
          <w:rFonts w:ascii="Times New Roman" w:hAnsi="Times New Roman" w:cs="Times New Roman"/>
          <w:sz w:val="24"/>
          <w:szCs w:val="24"/>
        </w:rPr>
        <w:t>Kono</w:t>
      </w:r>
      <w:proofErr w:type="spellEnd"/>
      <w:r w:rsidR="00F54083">
        <w:rPr>
          <w:rFonts w:ascii="Times New Roman" w:hAnsi="Times New Roman" w:cs="Times New Roman"/>
          <w:sz w:val="24"/>
          <w:szCs w:val="24"/>
        </w:rPr>
        <w:t xml:space="preserve"> occurs at the second harmonic and is distinct, followed by an exponential decay in the upper harmonics. The </w:t>
      </w:r>
      <w:proofErr w:type="spellStart"/>
      <w:r w:rsidR="00F54083">
        <w:rPr>
          <w:rFonts w:ascii="Times New Roman" w:hAnsi="Times New Roman" w:cs="Times New Roman"/>
          <w:sz w:val="24"/>
          <w:szCs w:val="24"/>
        </w:rPr>
        <w:t>Kutz</w:t>
      </w:r>
      <w:proofErr w:type="spellEnd"/>
      <w:r w:rsidR="00F54083">
        <w:rPr>
          <w:rFonts w:ascii="Times New Roman" w:hAnsi="Times New Roman" w:cs="Times New Roman"/>
          <w:sz w:val="24"/>
          <w:szCs w:val="24"/>
        </w:rPr>
        <w:t xml:space="preserve">, however, has its maximum harmonic intensity at the fifth harmonic. Not only is its peak later, but the </w:t>
      </w:r>
      <w:proofErr w:type="spellStart"/>
      <w:r w:rsidR="00F54083">
        <w:rPr>
          <w:rFonts w:ascii="Times New Roman" w:hAnsi="Times New Roman" w:cs="Times New Roman"/>
          <w:sz w:val="24"/>
          <w:szCs w:val="24"/>
        </w:rPr>
        <w:t>Kutz</w:t>
      </w:r>
      <w:proofErr w:type="spellEnd"/>
      <w:r w:rsidR="00F54083">
        <w:rPr>
          <w:rFonts w:ascii="Times New Roman" w:hAnsi="Times New Roman" w:cs="Times New Roman"/>
          <w:sz w:val="24"/>
          <w:szCs w:val="24"/>
        </w:rPr>
        <w:t xml:space="preserve"> also has a similar but slightly weaker peak in the second harmonic. </w:t>
      </w:r>
      <w:r w:rsidR="00CB5593">
        <w:rPr>
          <w:rFonts w:ascii="Times New Roman" w:hAnsi="Times New Roman" w:cs="Times New Roman"/>
          <w:sz w:val="24"/>
          <w:szCs w:val="24"/>
        </w:rPr>
        <w:t>Like</w:t>
      </w:r>
      <w:r w:rsidR="00A328B6">
        <w:rPr>
          <w:rFonts w:ascii="Times New Roman" w:hAnsi="Times New Roman" w:cs="Times New Roman"/>
          <w:sz w:val="24"/>
          <w:szCs w:val="24"/>
        </w:rPr>
        <w:t xml:space="preserve"> the </w:t>
      </w:r>
      <w:proofErr w:type="spellStart"/>
      <w:r w:rsidR="00A328B6">
        <w:rPr>
          <w:rFonts w:ascii="Times New Roman" w:hAnsi="Times New Roman" w:cs="Times New Roman"/>
          <w:sz w:val="24"/>
          <w:szCs w:val="24"/>
        </w:rPr>
        <w:t>Kono</w:t>
      </w:r>
      <w:proofErr w:type="spellEnd"/>
      <w:r w:rsidR="00A328B6">
        <w:rPr>
          <w:rFonts w:ascii="Times New Roman" w:hAnsi="Times New Roman" w:cs="Times New Roman"/>
          <w:sz w:val="24"/>
          <w:szCs w:val="24"/>
        </w:rPr>
        <w:t xml:space="preserve">, it follows an exponential decay, but the decay on the </w:t>
      </w:r>
      <w:proofErr w:type="spellStart"/>
      <w:r w:rsidR="00A328B6">
        <w:rPr>
          <w:rFonts w:ascii="Times New Roman" w:hAnsi="Times New Roman" w:cs="Times New Roman"/>
          <w:sz w:val="24"/>
          <w:szCs w:val="24"/>
        </w:rPr>
        <w:t>Kutz’s</w:t>
      </w:r>
      <w:proofErr w:type="spellEnd"/>
      <w:r w:rsidR="00A328B6">
        <w:rPr>
          <w:rFonts w:ascii="Times New Roman" w:hAnsi="Times New Roman" w:cs="Times New Roman"/>
          <w:sz w:val="24"/>
          <w:szCs w:val="24"/>
        </w:rPr>
        <w:t xml:space="preserve"> spectrum is much noisier. </w:t>
      </w:r>
      <w:r w:rsidR="00CB5593">
        <w:rPr>
          <w:rFonts w:ascii="Times New Roman" w:hAnsi="Times New Roman" w:cs="Times New Roman"/>
          <w:sz w:val="24"/>
          <w:szCs w:val="24"/>
        </w:rPr>
        <w:t>From this, we can say that higher quality instruments may have a cleaner and more well-defined harmonic spectrum on the G string, as opposed to lower quality instruments having a much noisier lower spectrum.</w:t>
      </w:r>
    </w:p>
    <w:p w14:paraId="53EE7528" w14:textId="58B91C30" w:rsidR="00CB5593" w:rsidRDefault="00CE2DD9" w:rsidP="00A638A8">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string recording for both instruments. The harmonic intensity plot for these recordings can be seen in Figure 2.</w:t>
      </w:r>
    </w:p>
    <w:p w14:paraId="507B357A" w14:textId="21BF7392" w:rsidR="00361348" w:rsidRDefault="00361348" w:rsidP="00A638A8">
      <w:pPr>
        <w:spacing w:line="480" w:lineRule="auto"/>
        <w:rPr>
          <w:rFonts w:ascii="Times New Roman" w:hAnsi="Times New Roman" w:cs="Times New Roman"/>
          <w:sz w:val="24"/>
          <w:szCs w:val="24"/>
        </w:rPr>
      </w:pPr>
    </w:p>
    <w:p w14:paraId="48C1713E" w14:textId="4022431F" w:rsidR="00361348" w:rsidRDefault="00361348" w:rsidP="00A638A8">
      <w:pPr>
        <w:spacing w:line="480" w:lineRule="auto"/>
        <w:rPr>
          <w:rFonts w:ascii="Times New Roman" w:hAnsi="Times New Roman" w:cs="Times New Roman"/>
          <w:sz w:val="24"/>
          <w:szCs w:val="24"/>
        </w:rPr>
      </w:pPr>
    </w:p>
    <w:p w14:paraId="7D75CFCE" w14:textId="33DF7D50" w:rsidR="00361348" w:rsidRDefault="00644841" w:rsidP="0064484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0668A7" wp14:editId="5125D815">
            <wp:extent cx="3948853" cy="2961640"/>
            <wp:effectExtent l="0" t="0" r="127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966057" cy="2974543"/>
                    </a:xfrm>
                    <a:prstGeom prst="rect">
                      <a:avLst/>
                    </a:prstGeom>
                  </pic:spPr>
                </pic:pic>
              </a:graphicData>
            </a:graphic>
          </wp:inline>
        </w:drawing>
      </w:r>
    </w:p>
    <w:p w14:paraId="1FD73E2E" w14:textId="7BF0891E" w:rsidR="00644841" w:rsidRDefault="00644841" w:rsidP="00644841">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Open E Harmonic Intensities</w:t>
      </w:r>
    </w:p>
    <w:p w14:paraId="55C92CDF" w14:textId="58E36572" w:rsidR="00E31291" w:rsidRDefault="00E31291" w:rsidP="00E31291">
      <w:pPr>
        <w:spacing w:line="480" w:lineRule="auto"/>
        <w:rPr>
          <w:rFonts w:ascii="Times New Roman" w:hAnsi="Times New Roman" w:cs="Times New Roman"/>
          <w:sz w:val="24"/>
          <w:szCs w:val="24"/>
        </w:rPr>
      </w:pPr>
      <w:r>
        <w:rPr>
          <w:rFonts w:ascii="Times New Roman" w:hAnsi="Times New Roman" w:cs="Times New Roman"/>
          <w:sz w:val="24"/>
          <w:szCs w:val="24"/>
        </w:rPr>
        <w:tab/>
      </w:r>
      <w:r w:rsidR="00D2552A">
        <w:rPr>
          <w:rFonts w:ascii="Times New Roman" w:hAnsi="Times New Roman" w:cs="Times New Roman"/>
          <w:sz w:val="24"/>
          <w:szCs w:val="24"/>
        </w:rPr>
        <w:t xml:space="preserve">The plot for the harmonic intensities for the E string can be seen above, again with the </w:t>
      </w:r>
      <w:proofErr w:type="spellStart"/>
      <w:r w:rsidR="00D2552A">
        <w:rPr>
          <w:rFonts w:ascii="Times New Roman" w:hAnsi="Times New Roman" w:cs="Times New Roman"/>
          <w:sz w:val="24"/>
          <w:szCs w:val="24"/>
        </w:rPr>
        <w:t>Kono</w:t>
      </w:r>
      <w:proofErr w:type="spellEnd"/>
      <w:r w:rsidR="00D2552A">
        <w:rPr>
          <w:rFonts w:ascii="Times New Roman" w:hAnsi="Times New Roman" w:cs="Times New Roman"/>
          <w:sz w:val="24"/>
          <w:szCs w:val="24"/>
        </w:rPr>
        <w:t xml:space="preserve"> in blue and the </w:t>
      </w:r>
      <w:proofErr w:type="spellStart"/>
      <w:r w:rsidR="00D2552A">
        <w:rPr>
          <w:rFonts w:ascii="Times New Roman" w:hAnsi="Times New Roman" w:cs="Times New Roman"/>
          <w:sz w:val="24"/>
          <w:szCs w:val="24"/>
        </w:rPr>
        <w:t>Kutz</w:t>
      </w:r>
      <w:proofErr w:type="spellEnd"/>
      <w:r w:rsidR="00D2552A">
        <w:rPr>
          <w:rFonts w:ascii="Times New Roman" w:hAnsi="Times New Roman" w:cs="Times New Roman"/>
          <w:sz w:val="24"/>
          <w:szCs w:val="24"/>
        </w:rPr>
        <w:t xml:space="preserve"> in orange. </w:t>
      </w:r>
      <w:r w:rsidR="009E70AD">
        <w:rPr>
          <w:rFonts w:ascii="Times New Roman" w:hAnsi="Times New Roman" w:cs="Times New Roman"/>
          <w:sz w:val="24"/>
          <w:szCs w:val="24"/>
        </w:rPr>
        <w:t xml:space="preserve">The peak harmonic for the </w:t>
      </w:r>
      <w:proofErr w:type="spellStart"/>
      <w:r w:rsidR="009E70AD">
        <w:rPr>
          <w:rFonts w:ascii="Times New Roman" w:hAnsi="Times New Roman" w:cs="Times New Roman"/>
          <w:sz w:val="24"/>
          <w:szCs w:val="24"/>
        </w:rPr>
        <w:t>Kono</w:t>
      </w:r>
      <w:proofErr w:type="spellEnd"/>
      <w:r w:rsidR="009E70AD">
        <w:rPr>
          <w:rFonts w:ascii="Times New Roman" w:hAnsi="Times New Roman" w:cs="Times New Roman"/>
          <w:sz w:val="24"/>
          <w:szCs w:val="24"/>
        </w:rPr>
        <w:t xml:space="preserve"> occurs at the second harmonic, while the peak harmonic for the </w:t>
      </w:r>
      <w:proofErr w:type="spellStart"/>
      <w:r w:rsidR="009E70AD">
        <w:rPr>
          <w:rFonts w:ascii="Times New Roman" w:hAnsi="Times New Roman" w:cs="Times New Roman"/>
          <w:sz w:val="24"/>
          <w:szCs w:val="24"/>
        </w:rPr>
        <w:t>Kutz</w:t>
      </w:r>
      <w:proofErr w:type="spellEnd"/>
      <w:r w:rsidR="009E70AD">
        <w:rPr>
          <w:rFonts w:ascii="Times New Roman" w:hAnsi="Times New Roman" w:cs="Times New Roman"/>
          <w:sz w:val="24"/>
          <w:szCs w:val="24"/>
        </w:rPr>
        <w:t xml:space="preserve"> occurs at the first harmonic. </w:t>
      </w:r>
      <w:r w:rsidR="009B1838">
        <w:rPr>
          <w:rFonts w:ascii="Times New Roman" w:hAnsi="Times New Roman" w:cs="Times New Roman"/>
          <w:sz w:val="24"/>
          <w:szCs w:val="24"/>
        </w:rPr>
        <w:t xml:space="preserve">After the peaks, both instruments follow an exponential decay; the decay on the </w:t>
      </w:r>
      <w:proofErr w:type="spellStart"/>
      <w:r w:rsidR="009B1838">
        <w:rPr>
          <w:rFonts w:ascii="Times New Roman" w:hAnsi="Times New Roman" w:cs="Times New Roman"/>
          <w:sz w:val="24"/>
          <w:szCs w:val="24"/>
        </w:rPr>
        <w:t>Kono</w:t>
      </w:r>
      <w:proofErr w:type="spellEnd"/>
      <w:r w:rsidR="009B1838">
        <w:rPr>
          <w:rFonts w:ascii="Times New Roman" w:hAnsi="Times New Roman" w:cs="Times New Roman"/>
          <w:sz w:val="24"/>
          <w:szCs w:val="24"/>
        </w:rPr>
        <w:t xml:space="preserve"> is slightly noisier than the decay on the </w:t>
      </w:r>
      <w:proofErr w:type="spellStart"/>
      <w:r w:rsidR="009B1838">
        <w:rPr>
          <w:rFonts w:ascii="Times New Roman" w:hAnsi="Times New Roman" w:cs="Times New Roman"/>
          <w:sz w:val="24"/>
          <w:szCs w:val="24"/>
        </w:rPr>
        <w:t>Kutz</w:t>
      </w:r>
      <w:proofErr w:type="spellEnd"/>
      <w:r w:rsidR="009B1838">
        <w:rPr>
          <w:rFonts w:ascii="Times New Roman" w:hAnsi="Times New Roman" w:cs="Times New Roman"/>
          <w:sz w:val="24"/>
          <w:szCs w:val="24"/>
        </w:rPr>
        <w:t xml:space="preserve">. The </w:t>
      </w:r>
      <w:proofErr w:type="spellStart"/>
      <w:r w:rsidR="009B1838">
        <w:rPr>
          <w:rFonts w:ascii="Times New Roman" w:hAnsi="Times New Roman" w:cs="Times New Roman"/>
          <w:sz w:val="24"/>
          <w:szCs w:val="24"/>
        </w:rPr>
        <w:t>Kono</w:t>
      </w:r>
      <w:proofErr w:type="spellEnd"/>
      <w:r w:rsidR="009B1838">
        <w:rPr>
          <w:rFonts w:ascii="Times New Roman" w:hAnsi="Times New Roman" w:cs="Times New Roman"/>
          <w:sz w:val="24"/>
          <w:szCs w:val="24"/>
        </w:rPr>
        <w:t xml:space="preserve"> also consistently has stronger harmonic intensities than the </w:t>
      </w:r>
      <w:proofErr w:type="spellStart"/>
      <w:r w:rsidR="009B1838">
        <w:rPr>
          <w:rFonts w:ascii="Times New Roman" w:hAnsi="Times New Roman" w:cs="Times New Roman"/>
          <w:sz w:val="24"/>
          <w:szCs w:val="24"/>
        </w:rPr>
        <w:t>Kutz</w:t>
      </w:r>
      <w:proofErr w:type="spellEnd"/>
      <w:r w:rsidR="009B1838">
        <w:rPr>
          <w:rFonts w:ascii="Times New Roman" w:hAnsi="Times New Roman" w:cs="Times New Roman"/>
          <w:sz w:val="24"/>
          <w:szCs w:val="24"/>
        </w:rPr>
        <w:t xml:space="preserve">, normally by about a factor of 3. From this, we can take away in general that for the E string, higher quality instruments will have stronger upper harmonics, while lower quality instruments’ upper harmonics will die out faster. </w:t>
      </w:r>
      <w:r w:rsidR="002A1D4D">
        <w:rPr>
          <w:rFonts w:ascii="Times New Roman" w:hAnsi="Times New Roman" w:cs="Times New Roman"/>
          <w:sz w:val="24"/>
          <w:szCs w:val="24"/>
        </w:rPr>
        <w:t>It should be noted that both recordings had a completely inactive ultrasonic spectrum. This may be attributed to variations in the recording process.</w:t>
      </w:r>
    </w:p>
    <w:p w14:paraId="26B7B60F" w14:textId="7978F516" w:rsidR="00C44A9B" w:rsidRDefault="00C44A9B" w:rsidP="00E31291">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G harmonic recordings. The frequency spectrum for these recordings can be seen in Figure 3.</w:t>
      </w:r>
    </w:p>
    <w:p w14:paraId="553E28FD" w14:textId="5D22A306" w:rsidR="00C44A9B" w:rsidRDefault="00C44A9B" w:rsidP="00E31291">
      <w:pPr>
        <w:spacing w:line="480" w:lineRule="auto"/>
        <w:rPr>
          <w:rFonts w:ascii="Times New Roman" w:hAnsi="Times New Roman" w:cs="Times New Roman"/>
          <w:sz w:val="24"/>
          <w:szCs w:val="24"/>
        </w:rPr>
      </w:pPr>
    </w:p>
    <w:p w14:paraId="14D4FEBD" w14:textId="77777777" w:rsidR="00833B91" w:rsidRPr="00E31291" w:rsidRDefault="00833B91" w:rsidP="00E31291">
      <w:pPr>
        <w:spacing w:line="480" w:lineRule="auto"/>
        <w:rPr>
          <w:rFonts w:ascii="Times New Roman" w:hAnsi="Times New Roman" w:cs="Times New Roman"/>
          <w:sz w:val="24"/>
          <w:szCs w:val="24"/>
        </w:rPr>
      </w:pPr>
    </w:p>
    <w:sectPr w:rsidR="00833B91" w:rsidRPr="00E31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3F"/>
    <w:rsid w:val="000B64CA"/>
    <w:rsid w:val="000C51C0"/>
    <w:rsid w:val="002A1D4D"/>
    <w:rsid w:val="00302552"/>
    <w:rsid w:val="00361348"/>
    <w:rsid w:val="00554D76"/>
    <w:rsid w:val="005C6F3F"/>
    <w:rsid w:val="00644841"/>
    <w:rsid w:val="00833B91"/>
    <w:rsid w:val="0087341F"/>
    <w:rsid w:val="009816CB"/>
    <w:rsid w:val="009B1838"/>
    <w:rsid w:val="009E70AD"/>
    <w:rsid w:val="00A328B6"/>
    <w:rsid w:val="00A638A8"/>
    <w:rsid w:val="00AD7971"/>
    <w:rsid w:val="00C20F5A"/>
    <w:rsid w:val="00C2360A"/>
    <w:rsid w:val="00C44A9B"/>
    <w:rsid w:val="00C732ED"/>
    <w:rsid w:val="00CB5593"/>
    <w:rsid w:val="00CD3C6E"/>
    <w:rsid w:val="00CE2DD9"/>
    <w:rsid w:val="00D2552A"/>
    <w:rsid w:val="00D90130"/>
    <w:rsid w:val="00E31291"/>
    <w:rsid w:val="00F35E49"/>
    <w:rsid w:val="00F54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EA6E"/>
  <w15:chartTrackingRefBased/>
  <w15:docId w15:val="{347FD5E1-DD40-450A-84C2-5D572EA8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24</cp:revision>
  <dcterms:created xsi:type="dcterms:W3CDTF">2023-04-02T19:28:00Z</dcterms:created>
  <dcterms:modified xsi:type="dcterms:W3CDTF">2023-04-05T19:06:00Z</dcterms:modified>
</cp:coreProperties>
</file>