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847137" w14:textId="0FF83754" w:rsidR="00D07EBC" w:rsidRDefault="00D07EBC" w:rsidP="00D07EBC">
      <w:pPr>
        <w:spacing w:line="48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Comparing Data Among Low Range Instruments</w:t>
      </w:r>
    </w:p>
    <w:p w14:paraId="51B78234" w14:textId="5DCD44C9" w:rsidR="00D07EBC" w:rsidRPr="00D07EBC" w:rsidRDefault="00D07EBC" w:rsidP="00D07EBC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At this point, we’ve compared the frequency spectrum for many different recordings and ranges for low-range instruments. We found that there was a lot of variance in the data between identical models, specifically for the G string on the violin. This tracks with anecdotal claims, as one of the main distinguishing features between a cheap and quality violin is a rich tone on the G string. </w:t>
      </w:r>
    </w:p>
    <w:sectPr w:rsidR="00D07EBC" w:rsidRPr="00D07EBC" w:rsidSect="007328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996"/>
    <w:rsid w:val="00732831"/>
    <w:rsid w:val="0080192A"/>
    <w:rsid w:val="00BB5CFC"/>
    <w:rsid w:val="00D07EBC"/>
    <w:rsid w:val="00DF6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1FF944"/>
  <w15:chartTrackingRefBased/>
  <w15:docId w15:val="{E10FB24F-FFBF-C64C-96D4-D77036C4E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65</Words>
  <Characters>371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Moosa Azfar</dc:creator>
  <cp:keywords/>
  <dc:description/>
  <cp:lastModifiedBy>Moosa Azfar</cp:lastModifiedBy>
  <cp:revision>2</cp:revision>
  <dcterms:created xsi:type="dcterms:W3CDTF">2023-03-28T15:52:00Z</dcterms:created>
  <dcterms:modified xsi:type="dcterms:W3CDTF">2023-03-28T15:58:00Z</dcterms:modified>
</cp:coreProperties>
</file>