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DEEAD" w14:textId="2B77521A" w:rsidR="0087341F" w:rsidRDefault="008E6060" w:rsidP="008E6060">
      <w:pPr>
        <w:spacing w:line="480" w:lineRule="auto"/>
        <w:jc w:val="center"/>
        <w:rPr>
          <w:rFonts w:ascii="Times New Roman" w:hAnsi="Times New Roman" w:cs="Times New Roman"/>
          <w:sz w:val="32"/>
          <w:szCs w:val="32"/>
        </w:rPr>
      </w:pPr>
      <w:r>
        <w:rPr>
          <w:rFonts w:ascii="Times New Roman" w:hAnsi="Times New Roman" w:cs="Times New Roman"/>
          <w:sz w:val="32"/>
          <w:szCs w:val="32"/>
        </w:rPr>
        <w:t>Comparing Data Among and Across Price Ranges</w:t>
      </w:r>
    </w:p>
    <w:p w14:paraId="1B956D7D" w14:textId="6842C1A7" w:rsidR="008E6060" w:rsidRDefault="008E6060" w:rsidP="008E6060">
      <w:pPr>
        <w:spacing w:line="480" w:lineRule="auto"/>
        <w:rPr>
          <w:rFonts w:ascii="Times New Roman" w:hAnsi="Times New Roman" w:cs="Times New Roman"/>
          <w:sz w:val="24"/>
          <w:szCs w:val="24"/>
        </w:rPr>
      </w:pPr>
      <w:r>
        <w:rPr>
          <w:rFonts w:ascii="Times New Roman" w:hAnsi="Times New Roman" w:cs="Times New Roman"/>
          <w:sz w:val="24"/>
          <w:szCs w:val="24"/>
        </w:rPr>
        <w:tab/>
        <w:t>In the last section, we looked at more in-depth data processing, primarily looking at the higher range of the Kutz 100 violin by looking at its E harmonic spectrum. We determined that even the cheapest instruments have a relatively active super-sonic range, and that it is present and detectable relative to other frequencies in the spectrum.</w:t>
      </w:r>
    </w:p>
    <w:p w14:paraId="640C0838" w14:textId="7ED283D6" w:rsidR="008E6060" w:rsidRDefault="008E6060" w:rsidP="008E6060">
      <w:pPr>
        <w:spacing w:line="480" w:lineRule="auto"/>
        <w:rPr>
          <w:rFonts w:ascii="Times New Roman" w:hAnsi="Times New Roman" w:cs="Times New Roman"/>
          <w:sz w:val="24"/>
          <w:szCs w:val="24"/>
        </w:rPr>
      </w:pPr>
      <w:r>
        <w:rPr>
          <w:rFonts w:ascii="Times New Roman" w:hAnsi="Times New Roman" w:cs="Times New Roman"/>
          <w:sz w:val="24"/>
          <w:szCs w:val="24"/>
        </w:rPr>
        <w:tab/>
        <w:t>In this section, we will begin to compare data between same and different price ranges. The Kutz instruments will be compared against each other to determine any trends that may appear in cheaper instruments, and the Cheng and Kono will be compared against each other to determine any trends that may be present in more expensive instruments. At the end, we’ll compare one of the Kutz instruments against the Kono, which are both at extreme ends of our price ranges.</w:t>
      </w:r>
    </w:p>
    <w:p w14:paraId="6D18A4E5" w14:textId="3EC855FC" w:rsidR="008E6060" w:rsidRDefault="008E6060" w:rsidP="008E606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For this section, we’ll be looking at harmonic intensity plots that are overlaid on top of each other. The first plot we’ll look at is the Kutz 100 #1 Open G recording vs. the Kutz 100 #2 Open G recording. The </w:t>
      </w:r>
      <w:r w:rsidR="00472AF2">
        <w:rPr>
          <w:rFonts w:ascii="Times New Roman" w:hAnsi="Times New Roman" w:cs="Times New Roman"/>
          <w:sz w:val="24"/>
          <w:szCs w:val="24"/>
        </w:rPr>
        <w:t xml:space="preserve">lower third </w:t>
      </w:r>
      <w:r w:rsidR="00E74266">
        <w:rPr>
          <w:rFonts w:ascii="Times New Roman" w:hAnsi="Times New Roman" w:cs="Times New Roman"/>
          <w:sz w:val="24"/>
          <w:szCs w:val="24"/>
        </w:rPr>
        <w:t xml:space="preserve">of the </w:t>
      </w:r>
      <w:r>
        <w:rPr>
          <w:rFonts w:ascii="Times New Roman" w:hAnsi="Times New Roman" w:cs="Times New Roman"/>
          <w:sz w:val="24"/>
          <w:szCs w:val="24"/>
        </w:rPr>
        <w:t>harmonic intensity plot for these two recordings can be seen below.</w:t>
      </w:r>
    </w:p>
    <w:p w14:paraId="26977818" w14:textId="1BE6F881" w:rsidR="00B0740C" w:rsidRDefault="00B0740C" w:rsidP="008E6060">
      <w:pPr>
        <w:spacing w:line="480" w:lineRule="auto"/>
        <w:rPr>
          <w:rFonts w:ascii="Times New Roman" w:hAnsi="Times New Roman" w:cs="Times New Roman"/>
          <w:sz w:val="24"/>
          <w:szCs w:val="24"/>
        </w:rPr>
      </w:pPr>
    </w:p>
    <w:p w14:paraId="06D820CB" w14:textId="12C02AE9" w:rsidR="00B0740C" w:rsidRDefault="00B0740C" w:rsidP="00B0740C">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1EEC2F1" wp14:editId="48C04266">
            <wp:extent cx="5761281" cy="2868333"/>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76796" cy="2925844"/>
                    </a:xfrm>
                    <a:prstGeom prst="rect">
                      <a:avLst/>
                    </a:prstGeom>
                    <a:noFill/>
                    <a:ln>
                      <a:noFill/>
                    </a:ln>
                  </pic:spPr>
                </pic:pic>
              </a:graphicData>
            </a:graphic>
          </wp:inline>
        </w:drawing>
      </w:r>
    </w:p>
    <w:p w14:paraId="713AD6AD" w14:textId="78A8E29C" w:rsidR="00B0740C" w:rsidRDefault="00B0740C" w:rsidP="00B0740C">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1: Kutz 100 Open G Spectrum</w:t>
      </w:r>
    </w:p>
    <w:p w14:paraId="66769C17" w14:textId="77777777" w:rsidR="00B0740C" w:rsidRDefault="00B0740C" w:rsidP="00B0740C">
      <w:pPr>
        <w:spacing w:line="480" w:lineRule="auto"/>
        <w:rPr>
          <w:rFonts w:ascii="Times New Roman" w:hAnsi="Times New Roman" w:cs="Times New Roman"/>
          <w:sz w:val="24"/>
          <w:szCs w:val="24"/>
        </w:rPr>
      </w:pPr>
      <w:r>
        <w:rPr>
          <w:rFonts w:ascii="Times New Roman" w:hAnsi="Times New Roman" w:cs="Times New Roman"/>
          <w:sz w:val="24"/>
          <w:szCs w:val="24"/>
        </w:rPr>
        <w:tab/>
        <w:t>The orange stems represent the second Kutz 100 recording, and blue stems represent the first Kutz 100 recording. Upon initial inspection, the peak harmonic is different between the two recordings—the peak harmonic for the first Kutz is tied between the 2</w:t>
      </w:r>
      <w:r w:rsidRPr="00B0740C">
        <w:rPr>
          <w:rFonts w:ascii="Times New Roman" w:hAnsi="Times New Roman" w:cs="Times New Roman"/>
          <w:sz w:val="24"/>
          <w:szCs w:val="24"/>
          <w:vertAlign w:val="superscript"/>
        </w:rPr>
        <w:t>nd</w:t>
      </w:r>
      <w:r>
        <w:rPr>
          <w:rFonts w:ascii="Times New Roman" w:hAnsi="Times New Roman" w:cs="Times New Roman"/>
          <w:sz w:val="24"/>
          <w:szCs w:val="24"/>
        </w:rPr>
        <w:t xml:space="preserve"> and 5</w:t>
      </w:r>
      <w:r w:rsidRPr="00B0740C">
        <w:rPr>
          <w:rFonts w:ascii="Times New Roman" w:hAnsi="Times New Roman" w:cs="Times New Roman"/>
          <w:sz w:val="24"/>
          <w:szCs w:val="24"/>
          <w:vertAlign w:val="superscript"/>
        </w:rPr>
        <w:t>th</w:t>
      </w:r>
      <w:r>
        <w:rPr>
          <w:rFonts w:ascii="Times New Roman" w:hAnsi="Times New Roman" w:cs="Times New Roman"/>
          <w:sz w:val="24"/>
          <w:szCs w:val="24"/>
        </w:rPr>
        <w:t xml:space="preserve"> harmonics, while the second Kutz clearly has its peak at the 3</w:t>
      </w:r>
      <w:r w:rsidRPr="00B0740C">
        <w:rPr>
          <w:rFonts w:ascii="Times New Roman" w:hAnsi="Times New Roman" w:cs="Times New Roman"/>
          <w:sz w:val="24"/>
          <w:szCs w:val="24"/>
          <w:vertAlign w:val="superscript"/>
        </w:rPr>
        <w:t>rd</w:t>
      </w:r>
      <w:r>
        <w:rPr>
          <w:rFonts w:ascii="Times New Roman" w:hAnsi="Times New Roman" w:cs="Times New Roman"/>
          <w:sz w:val="24"/>
          <w:szCs w:val="24"/>
        </w:rPr>
        <w:t xml:space="preserve"> harmonic. The intensity of the peaks is also off by about 25%--the second Kutz’s peak is 25% stronger than the first. Other than that, the data seems to be consistent between the two instruments. As we look at higher harmonics, the patterns tend to converge, as expected. Since these two models are the same, we would hope that there isn’t a lot of difference. Since we’re looking at the G string, there is no point in looking at the super-sonic range, since the intensities in this range are not relatively large.</w:t>
      </w:r>
    </w:p>
    <w:p w14:paraId="49A8275F" w14:textId="77777777" w:rsidR="00B0740C" w:rsidRDefault="00B0740C" w:rsidP="00B0740C">
      <w:pPr>
        <w:spacing w:line="480" w:lineRule="auto"/>
        <w:rPr>
          <w:rFonts w:ascii="Times New Roman" w:hAnsi="Times New Roman" w:cs="Times New Roman"/>
          <w:sz w:val="24"/>
          <w:szCs w:val="24"/>
        </w:rPr>
      </w:pPr>
      <w:r>
        <w:rPr>
          <w:rFonts w:ascii="Times New Roman" w:hAnsi="Times New Roman" w:cs="Times New Roman"/>
          <w:sz w:val="24"/>
          <w:szCs w:val="24"/>
        </w:rPr>
        <w:tab/>
        <w:t>Next, we’ll look at the Open E string recordings for both instruments. The lower third of the harmonics can be seen in Figure 2.</w:t>
      </w:r>
    </w:p>
    <w:p w14:paraId="0C2C49B0" w14:textId="77777777" w:rsidR="00B0740C" w:rsidRDefault="00B0740C" w:rsidP="00B0740C">
      <w:pPr>
        <w:spacing w:line="480" w:lineRule="auto"/>
        <w:rPr>
          <w:rFonts w:ascii="Times New Roman" w:hAnsi="Times New Roman" w:cs="Times New Roman"/>
          <w:sz w:val="24"/>
          <w:szCs w:val="24"/>
        </w:rPr>
      </w:pPr>
    </w:p>
    <w:p w14:paraId="11631E3B" w14:textId="01E47638" w:rsidR="00B0740C" w:rsidRDefault="002A2652" w:rsidP="002A2652">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A487A3" wp14:editId="68CD1A08">
            <wp:extent cx="3584672" cy="2687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6117" cy="2696338"/>
                    </a:xfrm>
                    <a:prstGeom prst="rect">
                      <a:avLst/>
                    </a:prstGeom>
                    <a:noFill/>
                    <a:ln>
                      <a:noFill/>
                    </a:ln>
                  </pic:spPr>
                </pic:pic>
              </a:graphicData>
            </a:graphic>
          </wp:inline>
        </w:drawing>
      </w:r>
    </w:p>
    <w:p w14:paraId="45B85FB6" w14:textId="1F6CA483" w:rsidR="002A2652" w:rsidRDefault="002A2652" w:rsidP="002A2652">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Figure </w:t>
      </w:r>
      <w:r>
        <w:rPr>
          <w:rFonts w:ascii="Times New Roman" w:hAnsi="Times New Roman" w:cs="Times New Roman"/>
          <w:b/>
          <w:bCs/>
          <w:sz w:val="20"/>
          <w:szCs w:val="20"/>
        </w:rPr>
        <w:t>2</w:t>
      </w:r>
      <w:r>
        <w:rPr>
          <w:rFonts w:ascii="Times New Roman" w:hAnsi="Times New Roman" w:cs="Times New Roman"/>
          <w:b/>
          <w:bCs/>
          <w:sz w:val="20"/>
          <w:szCs w:val="20"/>
        </w:rPr>
        <w:t xml:space="preserve">: Kutz 100 Open </w:t>
      </w:r>
      <w:r>
        <w:rPr>
          <w:rFonts w:ascii="Times New Roman" w:hAnsi="Times New Roman" w:cs="Times New Roman"/>
          <w:b/>
          <w:bCs/>
          <w:sz w:val="20"/>
          <w:szCs w:val="20"/>
        </w:rPr>
        <w:t>E</w:t>
      </w:r>
      <w:r>
        <w:rPr>
          <w:rFonts w:ascii="Times New Roman" w:hAnsi="Times New Roman" w:cs="Times New Roman"/>
          <w:b/>
          <w:bCs/>
          <w:sz w:val="20"/>
          <w:szCs w:val="20"/>
        </w:rPr>
        <w:t xml:space="preserve"> Spectrum</w:t>
      </w:r>
    </w:p>
    <w:p w14:paraId="25EFF5E1" w14:textId="21784A4B" w:rsidR="002A2652" w:rsidRDefault="002A2652" w:rsidP="002A2652">
      <w:pPr>
        <w:spacing w:line="480" w:lineRule="auto"/>
        <w:rPr>
          <w:rFonts w:ascii="Times New Roman" w:hAnsi="Times New Roman" w:cs="Times New Roman"/>
          <w:sz w:val="24"/>
          <w:szCs w:val="24"/>
        </w:rPr>
      </w:pPr>
      <w:r>
        <w:rPr>
          <w:rFonts w:ascii="Times New Roman" w:hAnsi="Times New Roman" w:cs="Times New Roman"/>
          <w:sz w:val="24"/>
          <w:szCs w:val="24"/>
        </w:rPr>
        <w:tab/>
        <w:t>For the open E, the two instruments follow a much more similar trend—the peaks in both instruments occur at the first harmonics, followed by a similar exponential decay until the trends converge. Note that the second instruments intensities are always greater than the first instrument. This may be due to the fact that the second instrument’s recording is both shorter and louder, leading to a more concentrated spectrum. The fundamental for this instrument is 659 Hz, meaning that the 30</w:t>
      </w:r>
      <w:r w:rsidRPr="002A2652">
        <w:rPr>
          <w:rFonts w:ascii="Times New Roman" w:hAnsi="Times New Roman" w:cs="Times New Roman"/>
          <w:sz w:val="24"/>
          <w:szCs w:val="24"/>
          <w:vertAlign w:val="superscript"/>
        </w:rPr>
        <w:t>th</w:t>
      </w:r>
      <w:r>
        <w:rPr>
          <w:rFonts w:ascii="Times New Roman" w:hAnsi="Times New Roman" w:cs="Times New Roman"/>
          <w:sz w:val="24"/>
          <w:szCs w:val="24"/>
        </w:rPr>
        <w:t xml:space="preserve"> harmonic would put us near the super-sonic range. It is evident that the 30</w:t>
      </w:r>
      <w:r w:rsidRPr="002A2652">
        <w:rPr>
          <w:rFonts w:ascii="Times New Roman" w:hAnsi="Times New Roman" w:cs="Times New Roman"/>
          <w:sz w:val="24"/>
          <w:szCs w:val="24"/>
          <w:vertAlign w:val="superscript"/>
        </w:rPr>
        <w:t>th</w:t>
      </w:r>
      <w:r>
        <w:rPr>
          <w:rFonts w:ascii="Times New Roman" w:hAnsi="Times New Roman" w:cs="Times New Roman"/>
          <w:sz w:val="24"/>
          <w:szCs w:val="24"/>
        </w:rPr>
        <w:t xml:space="preserve"> harmonic in this case is not relatively large, so the upper frequencies can also be neglected here. </w:t>
      </w:r>
    </w:p>
    <w:p w14:paraId="1EC6EA54" w14:textId="0D40B072" w:rsidR="002A2652" w:rsidRDefault="002A2652" w:rsidP="002A265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Next, we’ll look at the Open G Harmonic recordings for both of the instruments. We expect the peak for all of these to be two octaves (or two harmonics) higher than the fundamental, as the open-string harmonic on violins produces a pitch that is two octaves higher than the fundamental pitch on the string. </w:t>
      </w:r>
      <w:r w:rsidR="008C1E82">
        <w:rPr>
          <w:rFonts w:ascii="Times New Roman" w:hAnsi="Times New Roman" w:cs="Times New Roman"/>
          <w:sz w:val="24"/>
          <w:szCs w:val="24"/>
        </w:rPr>
        <w:t>These plots can be seen in Figure 3.</w:t>
      </w:r>
    </w:p>
    <w:p w14:paraId="05BDB78C" w14:textId="5A3716D4" w:rsidR="008C1E82" w:rsidRDefault="008C1E82" w:rsidP="002A2652">
      <w:pPr>
        <w:spacing w:line="480" w:lineRule="auto"/>
        <w:rPr>
          <w:rFonts w:ascii="Times New Roman" w:hAnsi="Times New Roman" w:cs="Times New Roman"/>
          <w:sz w:val="24"/>
          <w:szCs w:val="24"/>
        </w:rPr>
      </w:pPr>
    </w:p>
    <w:p w14:paraId="0E7399DC" w14:textId="03E25468" w:rsidR="008C1E82" w:rsidRDefault="008C1E82" w:rsidP="002A2652">
      <w:pPr>
        <w:spacing w:line="480" w:lineRule="auto"/>
        <w:rPr>
          <w:rFonts w:ascii="Times New Roman" w:hAnsi="Times New Roman" w:cs="Times New Roman"/>
          <w:sz w:val="24"/>
          <w:szCs w:val="24"/>
        </w:rPr>
      </w:pPr>
    </w:p>
    <w:p w14:paraId="1CCCD833" w14:textId="77777777" w:rsidR="008C1E82" w:rsidRPr="002A2652" w:rsidRDefault="008C1E82" w:rsidP="002A2652">
      <w:pPr>
        <w:spacing w:line="480" w:lineRule="auto"/>
        <w:rPr>
          <w:rFonts w:ascii="Times New Roman" w:hAnsi="Times New Roman" w:cs="Times New Roman"/>
          <w:sz w:val="24"/>
          <w:szCs w:val="24"/>
        </w:rPr>
      </w:pPr>
    </w:p>
    <w:p w14:paraId="3497FC57" w14:textId="77777777" w:rsidR="002A2652" w:rsidRPr="00B0740C" w:rsidRDefault="002A2652" w:rsidP="002A2652">
      <w:pPr>
        <w:spacing w:line="480" w:lineRule="auto"/>
        <w:jc w:val="center"/>
        <w:rPr>
          <w:rFonts w:ascii="Times New Roman" w:hAnsi="Times New Roman" w:cs="Times New Roman"/>
          <w:sz w:val="24"/>
          <w:szCs w:val="24"/>
        </w:rPr>
      </w:pPr>
    </w:p>
    <w:sectPr w:rsidR="002A2652" w:rsidRPr="00B07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905"/>
    <w:rsid w:val="002A2652"/>
    <w:rsid w:val="00472AF2"/>
    <w:rsid w:val="00554D76"/>
    <w:rsid w:val="00697905"/>
    <w:rsid w:val="00744B1A"/>
    <w:rsid w:val="00844CAD"/>
    <w:rsid w:val="0087341F"/>
    <w:rsid w:val="008C1E82"/>
    <w:rsid w:val="008E6060"/>
    <w:rsid w:val="00B0740C"/>
    <w:rsid w:val="00D90130"/>
    <w:rsid w:val="00E74266"/>
    <w:rsid w:val="00F35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8C4C3"/>
  <w15:chartTrackingRefBased/>
  <w15:docId w15:val="{8D54D1E3-1130-402A-8524-354D6A77F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1</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Moosa Azfar</dc:creator>
  <cp:keywords/>
  <dc:description/>
  <cp:lastModifiedBy>Moosa Azfar</cp:lastModifiedBy>
  <cp:revision>8</cp:revision>
  <dcterms:created xsi:type="dcterms:W3CDTF">2023-03-22T19:19:00Z</dcterms:created>
  <dcterms:modified xsi:type="dcterms:W3CDTF">2023-03-22T22:31:00Z</dcterms:modified>
</cp:coreProperties>
</file>