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Meshy ai 项目</w:t>
      </w:r>
      <w:r>
        <w:rPr>
          <w:rFonts w:eastAsia="等线" w:ascii="Arial" w:cs="Arial" w:hAnsi="Arial"/>
          <w:b w:val="true"/>
          <w:sz w:val="52"/>
        </w:rPr>
        <w:t xml:space="preserve"> part3</w:t>
      </w:r>
    </w:p>
    <w:p>
      <w:pPr>
        <w:spacing w:before="120" w:after="120" w:line="288" w:lineRule="auto"/>
        <w:ind w:left="0"/>
        <w:jc w:val="left"/>
      </w:pPr>
      <w:r>
        <w:rPr>
          <w:rFonts w:eastAsia="等线" w:ascii="Arial" w:cs="Arial" w:hAnsi="Arial"/>
          <w:b w:val="true"/>
          <w:sz w:val="22"/>
        </w:rPr>
        <w:t>Part 3：设计 Meshy的Referral变方案+实验设计+Vibe Coding</w:t>
      </w:r>
    </w:p>
    <w:p>
      <w:pPr>
        <w:spacing w:before="120" w:after="120" w:line="288" w:lineRule="auto"/>
        <w:ind w:left="0"/>
        <w:jc w:val="left"/>
      </w:pPr>
      <w:r>
        <w:rPr>
          <w:rFonts w:eastAsia="等线" w:ascii="Arial" w:cs="Arial" w:hAnsi="Arial"/>
          <w:sz w:val="22"/>
        </w:rPr>
        <w:t xml:space="preserve">一、活动前提 </w:t>
      </w:r>
    </w:p>
    <w:p>
      <w:pPr>
        <w:spacing w:before="120" w:after="120" w:line="288" w:lineRule="auto"/>
        <w:ind w:left="0"/>
        <w:jc w:val="left"/>
      </w:pPr>
      <w:r>
        <w:rPr>
          <w:rFonts w:eastAsia="等线" w:ascii="Arial" w:cs="Arial" w:hAnsi="Arial"/>
          <w:sz w:val="22"/>
        </w:rPr>
        <w:t>3D 生成是典型的高计算成本业务，单次 Text-to-3D 推理的 GPU 成本显著高于文本或 2D 图像生成。Referral 机制的本质是以边际成本撬动边际收入，但在高成本场景下极易陷入"薅完奖励即流失"的陷阱，，导致拉新数量与真实商业价值脱节。因此，Referral 体系的搭建需满足以下前提：</w:t>
      </w:r>
      <w:r>
        <w:rPr>
          <w:rFonts w:eastAsia="等线" w:ascii="Arial" w:cs="Arial" w:hAnsi="Arial"/>
          <w:sz w:val="22"/>
          <w:u w:val="single"/>
        </w:rPr>
        <w:t>以付费订阅转化为唯一北极星指标，在 ROI 达标与 DAU 正向的双重约束下，最大化拉新规模。</w:t>
      </w:r>
    </w:p>
    <w:p>
      <w:pPr>
        <w:spacing w:before="120" w:after="120" w:line="288" w:lineRule="auto"/>
        <w:ind w:left="0"/>
        <w:jc w:val="left"/>
      </w:pPr>
      <w:r>
        <w:rPr>
          <w:rFonts w:eastAsia="等线" w:ascii="Arial" w:cs="Arial" w:hAnsi="Arial"/>
          <w:sz w:val="22"/>
        </w:rPr>
        <w:t>即，</w:t>
      </w:r>
    </w:p>
    <w:p>
      <w:pPr>
        <w:numPr>
          <w:numId w:val="1"/>
        </w:numPr>
        <w:spacing w:before="120" w:after="120" w:line="288" w:lineRule="auto"/>
        <w:ind w:left="0"/>
        <w:jc w:val="left"/>
      </w:pPr>
      <w:r>
        <w:rPr>
          <w:rFonts w:eastAsia="等线" w:ascii="Arial" w:cs="Arial" w:hAnsi="Arial"/>
          <w:sz w:val="22"/>
        </w:rPr>
        <w:t>经济约束：单用户获客成本（CAC）须被其生命周期订阅收入覆盖，确保 ROI 达标；</w:t>
      </w:r>
    </w:p>
    <w:p>
      <w:pPr>
        <w:numPr>
          <w:numId w:val="2"/>
        </w:numPr>
        <w:spacing w:before="120" w:after="120" w:line="288" w:lineRule="auto"/>
        <w:ind w:left="0"/>
        <w:jc w:val="left"/>
      </w:pPr>
      <w:r>
        <w:rPr>
          <w:rFonts w:eastAsia="等线" w:ascii="Arial" w:cs="Arial" w:hAnsi="Arial"/>
          <w:sz w:val="22"/>
        </w:rPr>
        <w:t>质量约束：拉新带来的用户须形成持续使用习惯，DAU 呈正向趋势，避免"虚假繁荣"；</w:t>
      </w:r>
    </w:p>
    <w:p>
      <w:pPr>
        <w:numPr>
          <w:numId w:val="3"/>
        </w:numPr>
        <w:spacing w:before="120" w:after="120" w:line="288" w:lineRule="auto"/>
        <w:ind w:left="0"/>
        <w:jc w:val="left"/>
      </w:pPr>
      <w:r>
        <w:rPr>
          <w:rFonts w:eastAsia="等线" w:ascii="Arial" w:cs="Arial" w:hAnsi="Arial"/>
          <w:sz w:val="22"/>
        </w:rPr>
        <w:t>规模约束：在约束成立的前提下，最大化拉新数量。</w:t>
      </w:r>
    </w:p>
    <w:p>
      <w:pPr>
        <w:spacing w:before="120" w:after="120" w:line="288" w:lineRule="auto"/>
        <w:ind w:left="0"/>
        <w:jc w:val="left"/>
      </w:pPr>
      <w:r>
        <w:rPr>
          <w:rFonts w:eastAsia="等线" w:ascii="Arial" w:cs="Arial" w:hAnsi="Arial"/>
          <w:b w:val="true"/>
          <w:sz w:val="22"/>
        </w:rPr>
        <w:t xml:space="preserve">二、机制设计 </w:t>
      </w:r>
    </w:p>
    <w:p>
      <w:pPr>
        <w:numPr>
          <w:numId w:val="4"/>
        </w:numPr>
        <w:spacing w:before="120" w:after="120" w:line="288" w:lineRule="auto"/>
        <w:ind w:left="0"/>
        <w:jc w:val="left"/>
      </w:pPr>
      <w:r>
        <w:rPr>
          <w:rFonts w:eastAsia="等线" w:ascii="Arial" w:cs="Arial" w:hAnsi="Arial"/>
          <w:b w:val="true"/>
          <w:sz w:val="22"/>
        </w:rPr>
        <w:t>本机制设计的核心差异点（补充一个xmind）</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b w:val="true"/>
          <w:sz w:val="22"/>
        </w:rPr>
        <w:t>增长循环模型：</w:t>
      </w:r>
      <w:r>
        <w:rPr>
          <w:rFonts w:eastAsia="等线" w:ascii="Arial" w:cs="Arial" w:hAnsi="Arial"/>
          <w:sz w:val="22"/>
        </w:rPr>
        <w:t>在原有“激励型邀请”与“内容传播型”基础上，</w:t>
      </w:r>
      <w:r>
        <w:rPr>
          <w:rFonts w:eastAsia="等线" w:ascii="Arial" w:cs="Arial" w:hAnsi="Arial"/>
          <w:b w:val="true"/>
          <w:sz w:val="22"/>
          <w:u w:val="single"/>
        </w:rPr>
        <w:t>新增“积分商城型”维度。</w:t>
      </w:r>
      <w:r>
        <w:rPr>
          <w:rFonts w:eastAsia="等线" w:ascii="Arial" w:cs="Arial" w:hAnsi="Arial"/>
          <w:sz w:val="22"/>
        </w:rPr>
        <w:br/>
      </w:r>
      <w:r>
        <w:rPr>
          <w:rFonts w:eastAsia="等线" w:ascii="Arial" w:cs="Arial" w:hAnsi="Arial"/>
          <w:sz w:val="22"/>
        </w:rPr>
        <w:t>原因：Meshy 的 3D 资产天然具备“生成即内容，内容即广告”的属性。激励型邀请可有效驱动用户主动分享创作成果；内容传播型则依托用户在社交平台自发展示作品并附带推荐链接，形成低成本、高信任度的自然流量闭环。新增的积分商城型，则将浅层分享行为（如转发、浏览）量化积分，并与现有 Credit 体系打通，实现行为激励与消费转化的良性联动。</w:t>
      </w:r>
    </w:p>
    <w:p>
      <w:pPr>
        <w:spacing w:before="120" w:after="120" w:line="288" w:lineRule="auto"/>
        <w:ind w:left="453"/>
        <w:jc w:val="left"/>
      </w:pPr>
      <w:r>
        <w:drawing>
          <wp:inline distT="0" distR="0" distB="0" distL="0">
            <wp:extent cx="5257800" cy="3076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076575"/>
                    </a:xfrm>
                    <a:prstGeom prst="rect">
                      <a:avLst/>
                    </a:prstGeom>
                  </pic:spPr>
                </pic:pic>
              </a:graphicData>
            </a:graphic>
          </wp:inline>
        </w:drawing>
      </w:r>
    </w:p>
    <w:p>
      <w:pPr>
        <w:numPr>
          <w:numId w:val="6"/>
        </w:numPr>
        <w:spacing w:before="120" w:after="120" w:line="288" w:lineRule="auto"/>
        <w:ind w:left="0"/>
        <w:jc w:val="left"/>
      </w:pPr>
      <w:r>
        <w:rPr>
          <w:rFonts w:eastAsia="等线" w:ascii="Arial" w:cs="Arial" w:hAnsi="Arial"/>
          <w:b w:val="true"/>
          <w:sz w:val="22"/>
        </w:rPr>
        <w:t>Referral的激励体系设计</w:t>
      </w:r>
    </w:p>
    <w:p>
      <w:pPr>
        <w:numPr>
          <w:numId w:val="7"/>
        </w:numPr>
        <w:spacing w:before="120" w:after="120" w:line="288" w:lineRule="auto"/>
        <w:ind w:left="453"/>
        <w:jc w:val="left"/>
      </w:pPr>
      <w:r>
        <w:rPr>
          <w:rFonts w:eastAsia="等线" w:ascii="Arial" w:cs="Arial" w:hAnsi="Arial"/>
          <w:sz w:val="22"/>
        </w:rPr>
        <w:t>激励结构：双向激励</w:t>
      </w:r>
    </w:p>
    <w:p>
      <w:pPr>
        <w:numPr>
          <w:numId w:val="8"/>
        </w:numPr>
        <w:spacing w:before="120" w:after="120" w:line="288" w:lineRule="auto"/>
        <w:ind w:left="453"/>
        <w:jc w:val="left"/>
      </w:pPr>
      <w:r>
        <w:rPr>
          <w:rFonts w:eastAsia="等线" w:ascii="Arial" w:cs="Arial" w:hAnsi="Arial"/>
          <w:sz w:val="22"/>
        </w:rPr>
        <w:t xml:space="preserve">参与门槛：注册过meshy账号 </w:t>
      </w:r>
    </w:p>
    <w:p>
      <w:pPr>
        <w:numPr>
          <w:numId w:val="9"/>
        </w:numPr>
        <w:spacing w:before="120" w:after="120" w:line="288" w:lineRule="auto"/>
        <w:ind w:left="453"/>
        <w:jc w:val="left"/>
      </w:pPr>
      <w:r>
        <w:rPr>
          <w:rFonts w:eastAsia="等线" w:ascii="Arial" w:cs="Arial" w:hAnsi="Arial"/>
          <w:sz w:val="22"/>
        </w:rPr>
        <w:t>激励内容：</w:t>
      </w:r>
    </w:p>
    <w:p>
      <w:pPr>
        <w:numPr>
          <w:numId w:val="10"/>
        </w:numPr>
        <w:spacing w:before="120" w:after="120" w:line="288" w:lineRule="auto"/>
        <w:ind w:left="907"/>
        <w:jc w:val="left"/>
      </w:pPr>
      <w:r>
        <w:rPr>
          <w:rFonts w:eastAsia="等线" w:ascii="Arial" w:cs="Arial" w:hAnsi="Arial"/>
          <w:sz w:val="22"/>
        </w:rPr>
        <w:t>团员侧还是保留原有的激励，首月1美元+次月50% off；</w:t>
      </w:r>
    </w:p>
    <w:p>
      <w:pPr>
        <w:numPr>
          <w:numId w:val="11"/>
        </w:numPr>
        <w:spacing w:before="120" w:after="120" w:line="288" w:lineRule="auto"/>
        <w:ind w:left="907"/>
        <w:jc w:val="left"/>
      </w:pPr>
      <w:r>
        <w:rPr>
          <w:rFonts w:eastAsia="等线" w:ascii="Arial" w:cs="Arial" w:hAnsi="Arial"/>
          <w:sz w:val="22"/>
        </w:rPr>
        <w:t>团长侧做以下差异优化：</w:t>
      </w:r>
    </w:p>
    <w:p>
      <w:pPr>
        <w:numPr>
          <w:numId w:val="12"/>
        </w:numPr>
        <w:spacing w:before="120" w:after="120" w:line="288" w:lineRule="auto"/>
        <w:ind w:left="1360"/>
        <w:jc w:val="left"/>
      </w:pPr>
      <w:r>
        <w:rPr>
          <w:rFonts w:eastAsia="等线" w:ascii="Arial" w:cs="Arial" w:hAnsi="Arial"/>
          <w:sz w:val="22"/>
          <w:u w:val="single"/>
        </w:rPr>
        <w:t>激励模型中新增【助力】维度</w:t>
      </w:r>
    </w:p>
    <w:p>
      <w:pPr>
        <w:numPr>
          <w:numId w:val="13"/>
        </w:numPr>
        <w:spacing w:before="120" w:after="120" w:line="288" w:lineRule="auto"/>
        <w:ind w:left="1814"/>
        <w:jc w:val="left"/>
      </w:pPr>
      <w:r>
        <w:rPr>
          <w:rFonts w:eastAsia="等线" w:ascii="Arial" w:cs="Arial" w:hAnsi="Arial"/>
          <w:sz w:val="22"/>
        </w:rPr>
        <w:t>当好友点击referral链接后，分为两种状态：拉新(全新用户激活注册)或助力(已注册用户回访)。本referral 激励机制将增加：助力的激励模型，即助力成功在本机制中同样计入激励大奖的进度条，但会采用差异化权重系数，既保障老用户召回对DAU的贡献，又通过回后的二次曝光将其导向新一轮referral 活动，开启下层裂变。</w:t>
      </w:r>
    </w:p>
    <w:p>
      <w:pPr>
        <w:numPr>
          <w:numId w:val="14"/>
        </w:numPr>
        <w:spacing w:before="120" w:after="120" w:line="288" w:lineRule="auto"/>
        <w:ind w:left="1814"/>
        <w:jc w:val="left"/>
      </w:pPr>
      <w:r>
        <w:rPr>
          <w:rFonts w:eastAsia="等线" w:ascii="Arial" w:cs="Arial" w:hAnsi="Arial"/>
          <w:sz w:val="22"/>
        </w:rPr>
        <w:t>对0-1获客阶段的AI工具，沉默用户召回成本仅为新客获取的1/5-1/3。助力轨不仅直接拉升DAU，更重要的是通过「被助力者登录首屏弹出专属referral 入口」的设计，将其转化为新团长，形成下层裂变闭环。</w:t>
      </w:r>
    </w:p>
    <w:p>
      <w:pPr>
        <w:spacing w:before="120" w:after="120" w:line="288" w:lineRule="auto"/>
        <w:ind w:left="1814"/>
        <w:jc w:val="center"/>
      </w:pPr>
      <w:r>
        <w:drawing>
          <wp:inline distT="0" distR="0" distB="0" distL="0">
            <wp:extent cx="5257800" cy="18573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857375"/>
                    </a:xfrm>
                    <a:prstGeom prst="rect">
                      <a:avLst/>
                    </a:prstGeom>
                  </pic:spPr>
                </pic:pic>
              </a:graphicData>
            </a:graphic>
          </wp:inline>
        </w:drawing>
      </w:r>
    </w:p>
    <w:p>
      <w:pPr>
        <w:numPr>
          <w:numId w:val="15"/>
        </w:numPr>
        <w:spacing w:before="120" w:after="120" w:line="288" w:lineRule="auto"/>
        <w:ind w:left="1360"/>
        <w:jc w:val="left"/>
      </w:pPr>
      <w:r>
        <w:rPr>
          <w:rFonts w:eastAsia="等线" w:ascii="Arial" w:cs="Arial" w:hAnsi="Arial"/>
          <w:sz w:val="22"/>
          <w:u w:val="single"/>
        </w:rPr>
        <w:t>采取千人千面的【分层动态奖励】</w:t>
      </w:r>
    </w:p>
    <w:p>
      <w:pPr>
        <w:numPr>
          <w:numId w:val="16"/>
        </w:numPr>
        <w:spacing w:before="120" w:after="120" w:line="288" w:lineRule="auto"/>
        <w:ind w:left="1814"/>
        <w:jc w:val="left"/>
      </w:pPr>
      <w:r>
        <w:rPr>
          <w:rFonts w:eastAsia="等线" w:ascii="Arial" w:cs="Arial" w:hAnsi="Arial"/>
          <w:sz w:val="22"/>
        </w:rPr>
        <w:t>动态分层奖励更能根据好友侧不同付费的行为深度给到差异化激励，从而获得更高质量的用户，且对活动的成本把控更加清晰。</w:t>
        <w:br/>
      </w:r>
      <w:r>
        <w:rPr>
          <w:rFonts w:eastAsia="等线" w:ascii="Arial" w:cs="Arial" w:hAnsi="Arial"/>
          <w:sz w:val="22"/>
        </w:rPr>
        <w:t>价值数额折算将基于好友首单ARPU和预估LTV动态计算。</w:t>
      </w:r>
    </w:p>
    <w:p>
      <w:pPr>
        <w:spacing w:before="120" w:after="120" w:line="288" w:lineRule="auto"/>
        <w:ind w:left="2268"/>
        <w:jc w:val="left"/>
      </w:pPr>
      <w:r>
        <w:drawing>
          <wp:inline distT="0" distR="0" distB="0" distL="0">
            <wp:extent cx="4371975" cy="1809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371975" cy="1809750"/>
                    </a:xfrm>
                    <a:prstGeom prst="rect">
                      <a:avLst/>
                    </a:prstGeom>
                  </pic:spPr>
                </pic:pic>
              </a:graphicData>
            </a:graphic>
          </wp:inline>
        </w:drawing>
      </w:r>
    </w:p>
    <w:p>
      <w:pPr>
        <w:spacing w:before="120" w:after="120" w:line="288" w:lineRule="auto"/>
        <w:ind w:left="1814"/>
        <w:jc w:val="left"/>
      </w:pPr>
      <w:r>
        <w:rPr>
          <w:rFonts w:eastAsia="等线" w:ascii="Arial" w:cs="Arial" w:hAnsi="Arial"/>
          <w:sz w:val="22"/>
        </w:rPr>
        <w:t>*** 示意图内现金可以理解为原meshy体系下的credit</w:t>
      </w:r>
    </w:p>
    <w:p>
      <w:pPr>
        <w:numPr>
          <w:numId w:val="17"/>
        </w:numPr>
        <w:spacing w:before="120" w:after="120" w:line="288" w:lineRule="auto"/>
        <w:ind w:left="1360"/>
        <w:jc w:val="left"/>
      </w:pPr>
      <w:r>
        <w:rPr>
          <w:rFonts w:eastAsia="等线" w:ascii="Arial" w:cs="Arial" w:hAnsi="Arial"/>
          <w:sz w:val="22"/>
          <w:u w:val="single"/>
        </w:rPr>
        <w:t>新增基于行为的里程碑式【阶梯激励】</w:t>
      </w:r>
    </w:p>
    <w:p>
      <w:pPr>
        <w:numPr>
          <w:numId w:val="18"/>
        </w:numPr>
        <w:spacing w:before="120" w:after="120" w:line="288" w:lineRule="auto"/>
        <w:ind w:left="1814"/>
        <w:jc w:val="left"/>
      </w:pPr>
      <w:r>
        <w:rPr>
          <w:rFonts w:eastAsia="等线" w:ascii="Arial" w:cs="Arial" w:hAnsi="Arial"/>
          <w:sz w:val="22"/>
        </w:rPr>
        <w:t>里程碑式的阶梯激励是针对团长侧拉新行为深度做到即时反馈和目标感，浅层的分享和助力也可以有用，由此也需要新增一套更底层的数值体系，区别于现在meshy的credit体系（可以直接兑换会员），这套新的体系暂时命名成能力值体系，一定数量的能量值可以兑换credit。</w:t>
      </w:r>
    </w:p>
    <w:p>
      <w:pPr>
        <w:numPr>
          <w:numId w:val="19"/>
        </w:numPr>
        <w:spacing w:before="120" w:after="120" w:line="288" w:lineRule="auto"/>
        <w:ind w:left="1814"/>
        <w:jc w:val="left"/>
      </w:pPr>
      <w:r>
        <w:rPr>
          <w:rFonts w:eastAsia="等线" w:ascii="Arial" w:cs="Arial" w:hAnsi="Arial"/>
          <w:sz w:val="22"/>
        </w:rPr>
        <w:t>能量值体系作为Referral的「行为燃料」，与Credit体系解耦，既能激励浅层分享行为(能量值即时到账)又避免直接发放Credit导致的财务风险。能量值Credit的单向兑换，确保用户最终仍需回流到Meshy核心消费场景。</w:t>
      </w:r>
    </w:p>
    <w:p>
      <w:pPr>
        <w:spacing w:before="120" w:after="120" w:line="288" w:lineRule="auto"/>
        <w:ind w:left="2268"/>
        <w:jc w:val="left"/>
      </w:pPr>
      <w:r>
        <w:drawing>
          <wp:inline distT="0" distR="0" distB="0" distL="0">
            <wp:extent cx="5257800" cy="38195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819525"/>
                    </a:xfrm>
                    <a:prstGeom prst="rect">
                      <a:avLst/>
                    </a:prstGeom>
                  </pic:spPr>
                </pic:pic>
              </a:graphicData>
            </a:graphic>
          </wp:inline>
        </w:drawing>
      </w:r>
    </w:p>
    <w:p>
      <w:pPr>
        <w:spacing w:before="120" w:after="120" w:line="288" w:lineRule="auto"/>
        <w:ind w:left="2268"/>
        <w:jc w:val="left"/>
      </w:pPr>
      <w:r>
        <w:drawing>
          <wp:inline distT="0" distR="0" distB="0" distL="0">
            <wp:extent cx="5257800" cy="26289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628900"/>
                    </a:xfrm>
                    <a:prstGeom prst="rect">
                      <a:avLst/>
                    </a:prstGeom>
                  </pic:spPr>
                </pic:pic>
              </a:graphicData>
            </a:graphic>
          </wp:inline>
        </w:drawing>
      </w:r>
    </w:p>
    <w:p>
      <w:pPr>
        <w:numPr>
          <w:numId w:val="20"/>
        </w:numPr>
        <w:spacing w:before="120" w:after="120" w:line="288" w:lineRule="auto"/>
        <w:ind w:left="1360"/>
        <w:jc w:val="left"/>
      </w:pPr>
      <w:r>
        <w:rPr>
          <w:rFonts w:eastAsia="等线" w:ascii="Arial" w:cs="Arial" w:hAnsi="Arial"/>
          <w:sz w:val="22"/>
        </w:rPr>
        <w:t xml:space="preserve">奖励发放时序与成本ROI </w:t>
      </w:r>
    </w:p>
    <w:p>
      <w:pPr>
        <w:numPr>
          <w:numId w:val="21"/>
        </w:numPr>
        <w:spacing w:before="120" w:after="120" w:line="288" w:lineRule="auto"/>
        <w:ind w:left="1814"/>
        <w:jc w:val="left"/>
      </w:pPr>
      <w:r>
        <w:rPr>
          <w:rFonts w:eastAsia="等线" w:ascii="Arial" w:cs="Arial" w:hAnsi="Arial"/>
          <w:sz w:val="22"/>
        </w:rPr>
        <w:t>能量值即时到账：满足心理学「即时反馈」需求，让用户在分享后秒级看到回报</w:t>
      </w:r>
    </w:p>
    <w:p>
      <w:pPr>
        <w:numPr>
          <w:numId w:val="22"/>
        </w:numPr>
        <w:spacing w:before="120" w:after="120" w:line="288" w:lineRule="auto"/>
        <w:ind w:left="1814"/>
        <w:jc w:val="left"/>
      </w:pPr>
      <w:r>
        <w:rPr>
          <w:rFonts w:eastAsia="等线" w:ascii="Arial" w:cs="Arial" w:hAnsi="Arial"/>
          <w:sz w:val="22"/>
        </w:rPr>
        <w:t>Credit T+7 发放：设置退款观察期，避免「付费→领取奖励→退款」的羊毛套利</w:t>
      </w:r>
    </w:p>
    <w:p>
      <w:pPr>
        <w:numPr>
          <w:numId w:val="23"/>
        </w:numPr>
        <w:spacing w:before="120" w:after="120" w:line="288" w:lineRule="auto"/>
        <w:ind w:left="1814"/>
        <w:jc w:val="left"/>
      </w:pPr>
      <w:r>
        <w:rPr>
          <w:rFonts w:eastAsia="等线" w:ascii="Arial" w:cs="Arial" w:hAnsi="Arial"/>
          <w:sz w:val="22"/>
        </w:rPr>
        <w:t>里程碑 T+14 确认：大奖池（如 $100 Credit + 大使身份）需确认用户真实留存后才解锁</w:t>
      </w:r>
    </w:p>
    <w:p>
      <w:pPr>
        <w:spacing w:before="120" w:after="120" w:line="288" w:lineRule="auto"/>
        <w:ind w:left="136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28pt;mso-width-percent:0;mso-height-percent:0;mso-width-percent:0;mso-height-percent:0" type="#_x0000_t75" o:ole="">
            <v:imagedata r:id="rId11" o:title=""/>
          </v:shape>
          <o:OLEObject DrawAspect="Icon" ObjectID="_1718471219" ProgID="Excel.Sheet.12" ShapeID="_x0000_i1025" Type="Embed" r:id="rId10"/>
        </w:object>
      </w:r>
    </w:p>
    <w:p>
      <w:pPr>
        <w:spacing w:after="120"/>
        <w:ind w:left="1360"/>
        <w:jc w:val="center"/>
      </w:pPr>
      <w:r>
        <w:rPr>
          <w:rFonts w:eastAsia="等线" w:ascii="Arial" w:cs="Arial" w:hAnsi="Arial"/>
          <w:b w:val="true"/>
          <w:sz w:val="22"/>
        </w:rPr>
        <w:t>点击图片可查看完整电子表格</w:t>
      </w:r>
    </w:p>
    <w:p>
      <w:pPr>
        <w:spacing w:before="120" w:after="120" w:line="288" w:lineRule="auto"/>
        <w:ind w:left="1360"/>
        <w:jc w:val="left"/>
      </w:pPr>
      <w:r>
        <w:rPr>
          <w:rFonts w:eastAsia="等线" w:ascii="Arial" w:cs="Arial" w:hAnsi="Arial"/>
          <w:sz w:val="22"/>
        </w:rPr>
        <w:t>假设基准：</w:t>
      </w:r>
    </w:p>
    <w:p>
      <w:pPr>
        <w:numPr>
          <w:numId w:val="24"/>
        </w:numPr>
        <w:spacing w:before="120" w:after="120" w:line="288" w:lineRule="auto"/>
        <w:ind w:left="1360"/>
        <w:jc w:val="left"/>
      </w:pPr>
      <w:r>
        <w:rPr>
          <w:rFonts w:eastAsia="等线" w:ascii="Arial" w:cs="Arial" w:hAnsi="Arial"/>
          <w:sz w:val="22"/>
        </w:rPr>
        <w:t>Meshy Pro 定价：$10/月 = 1000 Credits → 1 Credit = $0.01</w:t>
      </w:r>
    </w:p>
    <w:p>
      <w:pPr>
        <w:numPr>
          <w:numId w:val="25"/>
        </w:numPr>
        <w:spacing w:before="120" w:after="120" w:line="288" w:lineRule="auto"/>
        <w:ind w:left="1360"/>
        <w:jc w:val="left"/>
      </w:pPr>
      <w:r>
        <w:rPr>
          <w:rFonts w:eastAsia="等线" w:ascii="Arial" w:cs="Arial" w:hAnsi="Arial"/>
          <w:sz w:val="22"/>
        </w:rPr>
        <w:t>能量值兑换汇率：100 能量值 = 1 Credit</w:t>
      </w:r>
    </w:p>
    <w:p>
      <w:pPr>
        <w:numPr>
          <w:numId w:val="26"/>
        </w:numPr>
        <w:spacing w:before="120" w:after="120" w:line="288" w:lineRule="auto"/>
        <w:ind w:left="1360"/>
        <w:jc w:val="left"/>
      </w:pPr>
      <w:r>
        <w:rPr>
          <w:rFonts w:eastAsia="等线" w:ascii="Arial" w:cs="Arial" w:hAnsi="Arial"/>
          <w:sz w:val="22"/>
        </w:rPr>
        <w:t>平台算力边际成本 = Credit 面值 × 30%</w:t>
      </w:r>
    </w:p>
    <w:p>
      <w:pPr>
        <w:spacing w:before="120" w:after="120" w:line="288" w:lineRule="auto"/>
        <w:ind w:left="1360"/>
      </w:pPr>
      <w:r>
        <w:object>
          <v:shape id="_x0000_i1026" style="width:414pt;height:166pt;mso-width-percent:0;mso-height-percent:0;mso-width-percent:0;mso-height-percent:0" type="#_x0000_t75" o:ole="">
            <v:imagedata r:id="rId13" o:title=""/>
          </v:shape>
          <o:OLEObject DrawAspect="Icon" ObjectID="_1718471220" ProgID="Excel.Sheet.12" ShapeID="_x0000_i1026" Type="Embed" r:id="rId12"/>
        </w:object>
      </w:r>
    </w:p>
    <w:p>
      <w:pPr>
        <w:spacing w:after="120"/>
        <w:ind w:left="1360"/>
        <w:jc w:val="center"/>
      </w:pPr>
      <w:r>
        <w:rPr>
          <w:rFonts w:eastAsia="等线" w:ascii="Arial" w:cs="Arial" w:hAnsi="Arial"/>
          <w:b w:val="true"/>
          <w:sz w:val="22"/>
        </w:rPr>
        <w:t>点击图片可查看完整电子表格</w:t>
      </w:r>
    </w:p>
    <w:p>
      <w:pPr>
        <w:spacing w:before="120" w:after="120" w:line="288" w:lineRule="auto"/>
        <w:ind w:left="907"/>
        <w:jc w:val="left"/>
      </w:pPr>
      <w:r>
        <w:rPr>
          <w:rFonts w:eastAsia="等线" w:ascii="Arial" w:cs="Arial" w:hAnsi="Arial"/>
          <w:sz w:val="22"/>
        </w:rPr>
        <w:t>对比Paid CAC，Referral 不是「更便宜的获客」，而是「现金流更友好、用户质量更高、LTV 更优」的结构性优势。</w:t>
      </w:r>
    </w:p>
    <w:p>
      <w:pPr>
        <w:spacing w:before="120" w:after="120" w:line="288" w:lineRule="auto"/>
        <w:ind w:left="1360"/>
      </w:pPr>
      <w:r>
        <w:object>
          <v:shape id="_x0000_i1027" style="width:414pt;height:160pt;mso-width-percent:0;mso-height-percent:0;mso-width-percent:0;mso-height-percent:0" type="#_x0000_t75" o:ole="">
            <v:imagedata r:id="rId15" o:title=""/>
          </v:shape>
          <o:OLEObject DrawAspect="Icon" ObjectID="_1718471221" ProgID="Excel.Sheet.12" ShapeID="_x0000_i1027" Type="Embed" r:id="rId14"/>
        </w:object>
      </w:r>
    </w:p>
    <w:p>
      <w:pPr>
        <w:spacing w:after="120"/>
        <w:ind w:left="1360"/>
        <w:jc w:val="center"/>
      </w:pPr>
      <w:r>
        <w:rPr>
          <w:rFonts w:eastAsia="等线" w:ascii="Arial" w:cs="Arial" w:hAnsi="Arial"/>
          <w:b w:val="true"/>
          <w:sz w:val="22"/>
        </w:rPr>
        <w:t>点击图片可查看完整电子表格</w:t>
      </w:r>
    </w:p>
    <w:p>
      <w:pPr>
        <w:numPr>
          <w:numId w:val="27"/>
        </w:numPr>
        <w:spacing w:before="120" w:after="120" w:line="288" w:lineRule="auto"/>
        <w:ind w:left="0"/>
        <w:jc w:val="left"/>
      </w:pPr>
      <w:r>
        <w:rPr>
          <w:rFonts w:eastAsia="等线" w:ascii="Arial" w:cs="Arial" w:hAnsi="Arial"/>
          <w:sz w:val="22"/>
        </w:rPr>
        <w:t>Referral 项目流量来源</w:t>
      </w:r>
    </w:p>
    <w:p>
      <w:pPr>
        <w:numPr>
          <w:numId w:val="28"/>
        </w:numPr>
        <w:spacing w:before="120" w:after="120" w:line="288" w:lineRule="auto"/>
        <w:ind w:left="453"/>
        <w:jc w:val="left"/>
      </w:pPr>
      <w:r>
        <w:rPr>
          <w:rFonts w:eastAsia="等线" w:ascii="Arial" w:cs="Arial" w:hAnsi="Arial"/>
          <w:sz w:val="22"/>
          <w:u w:val="single"/>
        </w:rPr>
        <w:t>新增端外流量：利用app端referral项目导流</w:t>
      </w:r>
      <w:r>
        <w:rPr>
          <w:rFonts w:eastAsia="等线" w:ascii="Arial" w:cs="Arial" w:hAnsi="Arial"/>
          <w:sz w:val="22"/>
        </w:rPr>
        <w:br/>
      </w:r>
      <w:r>
        <w:rPr>
          <w:rFonts w:eastAsia="等线" w:ascii="Arial" w:cs="Arial" w:hAnsi="Arial"/>
          <w:sz w:val="22"/>
        </w:rPr>
        <w:t>Meshy 的referral机制目前集中在PC端。经市场调研，AI工具的PC用户ltv显著更高，因此app常定位为轻量 companion 工具，但PC 端用户的主动分享效率天然更低，</w:t>
      </w:r>
      <w:r>
        <w:rPr>
          <w:rFonts w:eastAsia="等线" w:ascii="Arial" w:cs="Arial" w:hAnsi="Arial"/>
          <w:sz w:val="22"/>
          <w:shd w:fill="fed4a4"/>
        </w:rPr>
        <w:t>需要在两端之间建立trade-off平衡</w:t>
      </w:r>
      <w:r>
        <w:rPr>
          <w:rFonts w:eastAsia="等线" w:ascii="Arial" w:cs="Arial" w:hAnsi="Arial"/>
          <w:sz w:val="22"/>
        </w:rPr>
        <w:t>；App作为referral 拉新项目的</w:t>
      </w:r>
      <w:r>
        <w:rPr>
          <w:rFonts w:eastAsia="等线" w:ascii="Arial" w:cs="Arial" w:hAnsi="Arial"/>
          <w:sz w:val="22"/>
          <w:shd w:fill="fff67a"/>
        </w:rPr>
        <w:t>导流入口</w:t>
      </w:r>
      <w:r>
        <w:rPr>
          <w:rFonts w:eastAsia="等线" w:ascii="Arial" w:cs="Arial" w:hAnsi="Arial"/>
          <w:sz w:val="22"/>
        </w:rPr>
        <w:t>，PC端作为</w:t>
      </w:r>
      <w:r>
        <w:rPr>
          <w:rFonts w:eastAsia="等线" w:ascii="Arial" w:cs="Arial" w:hAnsi="Arial"/>
          <w:sz w:val="22"/>
          <w:shd w:fill="fff67a"/>
        </w:rPr>
        <w:t>转化主阵地</w:t>
      </w:r>
      <w:r>
        <w:rPr>
          <w:rFonts w:eastAsia="等线" w:ascii="Arial" w:cs="Arial" w:hAnsi="Arial"/>
          <w:sz w:val="22"/>
        </w:rPr>
        <w:t>，通过提高App端的奖励门槛与认证门槛，过滤低质流量，同时保留App的高分享效率优势。</w:t>
      </w:r>
    </w:p>
    <w:p>
      <w:pPr>
        <w:spacing w:before="120" w:after="120" w:line="288" w:lineRule="auto"/>
        <w:ind w:left="453"/>
        <w:jc w:val="center"/>
      </w:pPr>
      <w:r>
        <w:drawing>
          <wp:inline distT="0" distR="0" distB="0" distL="0">
            <wp:extent cx="5257800" cy="2095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6"/>
                    <a:stretch>
                      <a:fillRect/>
                    </a:stretch>
                  </pic:blipFill>
                  <pic:spPr>
                    <a:xfrm>
                      <a:off x="0" y="0"/>
                      <a:ext cx="5257800" cy="2095500"/>
                    </a:xfrm>
                    <a:prstGeom prst="rect">
                      <a:avLst/>
                    </a:prstGeom>
                  </pic:spPr>
                </pic:pic>
              </a:graphicData>
            </a:graphic>
          </wp:inline>
        </w:drawing>
      </w:r>
    </w:p>
    <w:p>
      <w:pPr>
        <w:spacing w:before="120" w:after="120" w:line="288" w:lineRule="auto"/>
        <w:ind w:left="453"/>
        <w:jc w:val="left"/>
      </w:pPr>
      <w:r>
        <w:rPr>
          <w:rFonts w:eastAsia="等线" w:ascii="Arial" w:cs="Arial" w:hAnsi="Arial"/>
          <w:sz w:val="22"/>
        </w:rPr>
        <w:t>*** 示意图内的现金可以理解为原meshy体系下的credit</w:t>
      </w:r>
    </w:p>
    <w:p>
      <w:pPr>
        <w:spacing w:before="120" w:after="120" w:line="288" w:lineRule="auto"/>
        <w:ind w:left="453" w:firstLine="0"/>
        <w:jc w:val="left"/>
      </w:pPr>
      <w:r>
        <w:rPr>
          <w:rFonts w:eastAsia="等线" w:ascii="Arial" w:cs="Arial" w:hAnsi="Arial"/>
          <w:sz w:val="22"/>
          <w:shd w:fill="fed4a4"/>
        </w:rPr>
        <w:t>Trade-off 逻辑</w:t>
      </w:r>
    </w:p>
    <w:p>
      <w:pPr>
        <w:numPr>
          <w:numId w:val="29"/>
        </w:numPr>
        <w:spacing w:before="120" w:after="120" w:line="288" w:lineRule="auto"/>
        <w:ind w:left="907"/>
        <w:jc w:val="left"/>
      </w:pPr>
      <w:r>
        <w:rPr>
          <w:rFonts w:eastAsia="等线" w:ascii="Arial" w:cs="Arial" w:hAnsi="Arial"/>
          <w:sz w:val="22"/>
        </w:rPr>
        <w:t>App端分享效率高但用户质量参差，通过「注册不算里程碑+必须完成3D生成」过滤纯羊毛党</w:t>
      </w:r>
    </w:p>
    <w:p>
      <w:pPr>
        <w:numPr>
          <w:numId w:val="30"/>
        </w:numPr>
        <w:spacing w:before="120" w:after="120" w:line="288" w:lineRule="auto"/>
        <w:ind w:left="907"/>
        <w:jc w:val="left"/>
      </w:pPr>
      <w:r>
        <w:rPr>
          <w:rFonts w:eastAsia="等线" w:ascii="Arial" w:cs="Arial" w:hAnsi="Arial"/>
          <w:sz w:val="22"/>
        </w:rPr>
        <w:t>App端3天付费窗口(vs PC端7天)缩短决策周期，倒逼即时转化</w:t>
      </w:r>
    </w:p>
    <w:p>
      <w:pPr>
        <w:numPr>
          <w:numId w:val="31"/>
        </w:numPr>
        <w:spacing w:before="120" w:after="120" w:line="288" w:lineRule="auto"/>
        <w:ind w:left="907"/>
        <w:jc w:val="left"/>
      </w:pPr>
      <w:r>
        <w:rPr>
          <w:rFonts w:eastAsia="等线" w:ascii="Arial" w:cs="Arial" w:hAnsi="Arial"/>
          <w:sz w:val="22"/>
        </w:rPr>
        <w:t>App端7天归因期(vs PC端30天)降低长期归因成本</w:t>
      </w:r>
    </w:p>
    <w:p>
      <w:pPr>
        <w:numPr>
          <w:numId w:val="32"/>
        </w:numPr>
        <w:spacing w:before="120" w:after="120" w:line="288" w:lineRule="auto"/>
        <w:ind w:left="907"/>
        <w:jc w:val="left"/>
      </w:pPr>
      <w:r>
        <w:rPr>
          <w:rFonts w:eastAsia="等线" w:ascii="Arial" w:cs="Arial" w:hAnsi="Arial"/>
          <w:sz w:val="22"/>
        </w:rPr>
        <w:t>App 端仅展示能量值/抽奖，所有现金/算力相关奖励引导至Web端结算，规避Apple/Google IAP30%抽成。</w:t>
      </w:r>
    </w:p>
    <w:p>
      <w:pPr>
        <w:numPr>
          <w:numId w:val="33"/>
        </w:numPr>
        <w:spacing w:before="120" w:after="120" w:line="288" w:lineRule="auto"/>
        <w:ind w:left="453"/>
        <w:jc w:val="left"/>
      </w:pPr>
      <w:r>
        <w:rPr>
          <w:rFonts w:eastAsia="等线" w:ascii="Arial" w:cs="Arial" w:hAnsi="Arial"/>
          <w:sz w:val="22"/>
          <w:u w:val="single"/>
        </w:rPr>
        <w:t>端内流量导流：用户旅程&amp;界面入口，基于【转化率潜力 × 实施难度 × 战略价值】优先级降序排列</w:t>
      </w:r>
    </w:p>
    <w:p>
      <w:pPr>
        <w:spacing w:before="120" w:after="120" w:line="288" w:lineRule="auto"/>
        <w:ind w:left="453"/>
      </w:pPr>
      <w:r>
        <w:object>
          <v:shape id="_x0000_i1028" style="width:414pt;height:197pt;mso-width-percent:0;mso-height-percent:0;mso-width-percent:0;mso-height-percent:0" type="#_x0000_t75" o:ole="">
            <v:imagedata r:id="rId18" o:title=""/>
          </v:shape>
          <o:OLEObject DrawAspect="Icon" ObjectID="_1718471222" ProgID="Excel.Sheet.12" ShapeID="_x0000_i1028" Type="Embed" r:id="rId17"/>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drawing>
          <wp:inline distT="0" distR="0" distB="0" distL="0">
            <wp:extent cx="5048250" cy="4114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9"/>
                    <a:stretch>
                      <a:fillRect/>
                    </a:stretch>
                  </pic:blipFill>
                  <pic:spPr>
                    <a:xfrm>
                      <a:off x="0" y="0"/>
                      <a:ext cx="5048250" cy="4114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二、指标体系</w:t>
      </w:r>
    </w:p>
    <w:p>
      <w:pPr>
        <w:spacing w:before="120" w:after="120" w:line="288" w:lineRule="auto"/>
        <w:ind w:left="0"/>
        <w:jc w:val="left"/>
      </w:pPr>
      <w:r>
        <w:rPr>
          <w:rFonts w:eastAsia="等线" w:ascii="Arial" w:cs="Arial" w:hAnsi="Arial"/>
          <w:sz w:val="22"/>
        </w:rPr>
        <w:t>2.1 北极星指标：Referral 渠道贡献的付费订阅数</w:t>
      </w:r>
    </w:p>
    <w:p>
      <w:pPr>
        <w:spacing w:before="120" w:after="120" w:line="288" w:lineRule="auto"/>
        <w:ind w:left="0"/>
        <w:jc w:val="left"/>
      </w:pPr>
      <w:r>
        <w:rPr>
          <w:rFonts w:eastAsia="等线" w:ascii="Arial" w:cs="Arial" w:hAnsi="Arial"/>
          <w:sz w:val="22"/>
        </w:rPr>
        <w:t>定义：通过 Referral 渠道注册，且在注册后 T+30 天内完成付费订阅的用户数量</w:t>
      </w:r>
    </w:p>
    <w:p>
      <w:pPr>
        <w:spacing w:before="120" w:after="120" w:line="288" w:lineRule="auto"/>
        <w:ind w:left="0"/>
        <w:jc w:val="left"/>
      </w:pPr>
      <w:r>
        <w:rPr>
          <w:rFonts w:eastAsia="等线" w:ascii="Arial" w:cs="Arial" w:hAnsi="Arial"/>
          <w:sz w:val="22"/>
        </w:rPr>
        <w:t>2.2 过程指标：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7035"/>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w:t>
            </w: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大盘：</w:t>
            </w:r>
          </w:p>
          <w:p>
            <w:pPr>
              <w:numPr>
                <w:numId w:val="34"/>
              </w:numPr>
              <w:spacing w:before="120" w:after="120" w:line="288" w:lineRule="auto"/>
              <w:ind w:left="0"/>
              <w:jc w:val="left"/>
            </w:pPr>
            <w:r>
              <w:rPr>
                <w:rFonts w:eastAsia="等线" w:ascii="Arial" w:cs="Arial" w:hAnsi="Arial"/>
                <w:sz w:val="22"/>
              </w:rPr>
              <w:t>各活动入口点击率（曝光数、点击数）</w:t>
            </w:r>
          </w:p>
          <w:p>
            <w:pPr>
              <w:numPr>
                <w:numId w:val="35"/>
              </w:numPr>
              <w:spacing w:before="120" w:after="120" w:line="288" w:lineRule="auto"/>
              <w:ind w:left="0"/>
              <w:jc w:val="left"/>
            </w:pPr>
            <w:r>
              <w:rPr>
                <w:rFonts w:eastAsia="等线" w:ascii="Arial" w:cs="Arial" w:hAnsi="Arial"/>
                <w:sz w:val="22"/>
              </w:rPr>
              <w:t>开团数：参与活动的团长数；分享数（点击过分享按钮）、激活数（新用户）、助力数（老用户）、激活助力比</w:t>
            </w:r>
          </w:p>
          <w:p>
            <w:pPr>
              <w:numPr>
                <w:numId w:val="36"/>
              </w:numPr>
              <w:spacing w:before="120" w:after="120" w:line="288" w:lineRule="auto"/>
              <w:ind w:left="0"/>
              <w:jc w:val="left"/>
            </w:pPr>
            <w:r>
              <w:rPr>
                <w:rFonts w:eastAsia="等线" w:ascii="Arial" w:cs="Arial" w:hAnsi="Arial"/>
                <w:sz w:val="22"/>
              </w:rPr>
              <w:t>分享率：有分享的团数/开团数</w:t>
            </w:r>
          </w:p>
          <w:p>
            <w:pPr>
              <w:numPr>
                <w:numId w:val="37"/>
              </w:numPr>
              <w:spacing w:before="120" w:after="120" w:line="288" w:lineRule="auto"/>
              <w:ind w:left="0"/>
              <w:jc w:val="left"/>
            </w:pPr>
            <w:r>
              <w:rPr>
                <w:rFonts w:eastAsia="等线" w:ascii="Arial" w:cs="Arial" w:hAnsi="Arial"/>
                <w:sz w:val="22"/>
              </w:rPr>
              <w:t>激活率：有激活的团数/开团数</w:t>
            </w:r>
          </w:p>
          <w:p>
            <w:pPr>
              <w:numPr>
                <w:numId w:val="38"/>
              </w:numPr>
              <w:spacing w:before="120" w:after="120" w:line="288" w:lineRule="auto"/>
              <w:ind w:left="0"/>
              <w:jc w:val="left"/>
            </w:pPr>
            <w:r>
              <w:rPr>
                <w:rFonts w:eastAsia="等线" w:ascii="Arial" w:cs="Arial" w:hAnsi="Arial"/>
                <w:sz w:val="22"/>
              </w:rPr>
              <w:t>助力率：有助力的团数/开团数</w:t>
            </w:r>
          </w:p>
          <w:p>
            <w:pPr>
              <w:numPr>
                <w:numId w:val="39"/>
              </w:numPr>
              <w:spacing w:before="120" w:after="120" w:line="288" w:lineRule="auto"/>
              <w:ind w:left="0"/>
              <w:jc w:val="left"/>
            </w:pPr>
            <w:r>
              <w:rPr>
                <w:rFonts w:eastAsia="等线" w:ascii="Arial" w:cs="Arial" w:hAnsi="Arial"/>
                <w:sz w:val="22"/>
              </w:rPr>
              <w:t>dau趋势</w:t>
            </w:r>
          </w:p>
          <w:p>
            <w:pPr>
              <w:spacing w:before="120" w:after="120" w:line="288" w:lineRule="auto"/>
              <w:ind w:left="0"/>
              <w:jc w:val="left"/>
            </w:pPr>
            <w:r>
              <w:rPr>
                <w:rFonts w:eastAsia="等线" w:ascii="Arial" w:cs="Arial" w:hAnsi="Arial"/>
                <w:sz w:val="22"/>
              </w:rPr>
              <w:t>团长：团均激活数（k-factor）；团均分享数/助力数</w:t>
            </w:r>
          </w:p>
          <w:p>
            <w:pPr>
              <w:spacing w:before="120" w:after="120" w:line="288" w:lineRule="auto"/>
              <w:ind w:left="0"/>
              <w:jc w:val="left"/>
            </w:pPr>
            <w:r>
              <w:rPr>
                <w:rFonts w:eastAsia="等线" w:ascii="Arial" w:cs="Arial" w:hAnsi="Arial"/>
                <w:sz w:val="22"/>
              </w:rPr>
              <w:t>团员侧：分享连接的点击率、承接落地页的下载率、端内app注册率、完成任务率（首个生成任务完成率；3次生成任务完成率）、付费率、退款率、留存率</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成本和收益</w:t>
            </w: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大盘：拉新成本、团长+团员侧被领取的奖励总价值和平均价值</w:t>
            </w:r>
          </w:p>
          <w:p>
            <w:pPr>
              <w:spacing w:before="120" w:after="120" w:line="288" w:lineRule="auto"/>
              <w:ind w:left="0"/>
              <w:jc w:val="left"/>
            </w:pPr>
            <w:r>
              <w:rPr>
                <w:rFonts w:eastAsia="等线" w:ascii="Arial" w:cs="Arial" w:hAnsi="Arial"/>
                <w:sz w:val="22"/>
              </w:rPr>
              <w:t>团长：被领取的奖励总价值和平均价值、成团数（拿到奖励的团长数）、成团比例（拿到奖励的团长/参与活动的团长）</w:t>
            </w:r>
          </w:p>
          <w:p>
            <w:pPr>
              <w:spacing w:before="120" w:after="120" w:line="288" w:lineRule="auto"/>
              <w:ind w:left="0"/>
              <w:jc w:val="left"/>
            </w:pPr>
            <w:r>
              <w:rPr>
                <w:rFonts w:eastAsia="等线" w:ascii="Arial" w:cs="Arial" w:hAnsi="Arial"/>
                <w:sz w:val="22"/>
              </w:rPr>
              <w:t>团员：7d/14d/30d平均付费月数、平均付费价值、总付费价值、付费团员数&amp;占比、单激活ltv</w:t>
            </w:r>
          </w:p>
          <w:p>
            <w:pPr>
              <w:spacing w:before="120" w:after="120" w:line="288" w:lineRule="auto"/>
              <w:ind w:left="0"/>
              <w:jc w:val="left"/>
            </w:pPr>
            <w:r>
              <w:rPr>
                <w:rFonts w:eastAsia="等线" w:ascii="Arial" w:cs="Arial" w:hAnsi="Arial"/>
                <w:sz w:val="22"/>
              </w:rPr>
              <w:t xml:space="preserve">Roi：「（激活数*单激活订阅收入）/（团长+团员总成本）」 </w:t>
            </w:r>
          </w:p>
          <w:p>
            <w:pPr>
              <w:spacing w:before="120" w:after="120" w:line="288" w:lineRule="auto"/>
              <w:ind w:left="0"/>
              <w:jc w:val="left"/>
            </w:pPr>
            <w:r>
              <w:rPr>
                <w:rFonts w:eastAsia="等线" w:ascii="Arial" w:cs="Arial" w:hAnsi="Arial"/>
                <w:sz w:val="22"/>
              </w:rPr>
              <w:t xml:space="preserve"> </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2.3 护栏指标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25"/>
        <w:gridCol w:w="4140"/>
        <w:gridCol w:w="2415"/>
      </w:tblGrid>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预期阈值</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自我推荐用户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团长和团员使用同一个注册邮箱、设备号等</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直接拦截，拉人无效；大盘整体需要监控是否低于5%</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异常设备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相同设备指纹 / 浏览器 Canvas 指纹关联的账户数</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低于5%</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ip聚集度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 C 段 IP 在 24 小时内注册数</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小于 10 个/IP 段</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24h内同一用户领取奖励次数</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不高于3次</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referral活动占比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referral拉新数/全渠道</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趋势监控，周到周跌幅不低于-10%</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流失率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30d内取消订阅的比例</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大盘取消订阅比例+10%～20%以内</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卸载率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referral用户7d/14d/30d内卸载app情况</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大盘卸载率+5%～10%以内</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2.4 防薅机制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40"/>
        <w:gridCol w:w="7140"/>
      </w:tblGrid>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作用方</w:t>
            </w:r>
          </w:p>
        </w:tc>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上限控制和监控</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团长</w:t>
            </w:r>
          </w:p>
          <w:p>
            <w:pPr>
              <w:spacing w:before="120" w:after="120" w:line="288" w:lineRule="auto"/>
              <w:ind w:left="0"/>
              <w:jc w:val="left"/>
            </w:pPr>
            <w:r>
              <w:rPr>
                <w:rFonts w:eastAsia="等线" w:ascii="Arial" w:cs="Arial" w:hAnsi="Arial"/>
                <w:sz w:val="22"/>
              </w:rPr>
              <w:t xml:space="preserve"> </w:t>
            </w:r>
          </w:p>
        </w:tc>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自然日24h内，</w:t>
            </w:r>
          </w:p>
          <w:p>
            <w:pPr>
              <w:numPr>
                <w:numId w:val="40"/>
              </w:numPr>
              <w:spacing w:before="120" w:after="120" w:line="288" w:lineRule="auto"/>
              <w:ind w:left="0"/>
              <w:jc w:val="left"/>
            </w:pPr>
            <w:r>
              <w:rPr>
                <w:rFonts w:eastAsia="等线" w:ascii="Arial" w:cs="Arial" w:hAnsi="Arial"/>
                <w:sz w:val="22"/>
              </w:rPr>
              <w:t>只能参与1次拉新活动</w:t>
            </w:r>
          </w:p>
          <w:p>
            <w:pPr>
              <w:numPr>
                <w:numId w:val="41"/>
              </w:numPr>
              <w:spacing w:before="120" w:after="120" w:line="288" w:lineRule="auto"/>
              <w:ind w:left="0"/>
              <w:jc w:val="left"/>
            </w:pPr>
            <w:r>
              <w:rPr>
                <w:rFonts w:eastAsia="等线" w:ascii="Arial" w:cs="Arial" w:hAnsi="Arial"/>
                <w:sz w:val="22"/>
              </w:rPr>
              <w:t>累计有效拉新数不超过10人</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团员</w:t>
            </w:r>
          </w:p>
        </w:tc>
        <w:tc>
          <w:tcPr>
            <w:tcW w:w="7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接受邀请后，</w:t>
            </w:r>
          </w:p>
          <w:p>
            <w:pPr>
              <w:numPr>
                <w:numId w:val="42"/>
              </w:numPr>
              <w:spacing w:before="120" w:after="120" w:line="288" w:lineRule="auto"/>
              <w:ind w:left="0"/>
              <w:jc w:val="left"/>
            </w:pPr>
            <w:r>
              <w:rPr>
                <w:rFonts w:eastAsia="等线" w:ascii="Arial" w:cs="Arial" w:hAnsi="Arial"/>
                <w:sz w:val="22"/>
              </w:rPr>
              <w:t>完成任务+付费行为</w:t>
            </w:r>
          </w:p>
          <w:p>
            <w:pPr>
              <w:numPr>
                <w:numId w:val="43"/>
              </w:numPr>
              <w:spacing w:before="120" w:after="120" w:line="288" w:lineRule="auto"/>
              <w:ind w:left="0"/>
              <w:jc w:val="left"/>
            </w:pPr>
            <w:r>
              <w:rPr>
                <w:rFonts w:eastAsia="等线" w:ascii="Arial" w:cs="Arial" w:hAnsi="Arial"/>
                <w:sz w:val="22"/>
              </w:rPr>
              <w:t>限制自然日24h内只能给3人助力</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w:t>
            </w:r>
          </w:p>
        </w:tc>
        <w:tc>
          <w:tcPr>
            <w:tcW w:w="7140" w:type="dxa"/>
            <w:tcMar>
              <w:top w:type="dxa" w:w="60"/>
              <w:left w:type="dxa" w:w="120"/>
              <w:bottom w:type="dxa" w:w="30"/>
              <w:right w:type="dxa" w:w="120"/>
            </w:tcMar>
          </w:tcPr>
          <w:p>
            <w:pPr>
              <w:numPr>
                <w:numId w:val="44"/>
              </w:numPr>
              <w:spacing w:before="120" w:after="120" w:line="288" w:lineRule="auto"/>
              <w:ind w:left="0"/>
              <w:jc w:val="left"/>
            </w:pPr>
            <w:r>
              <w:rPr>
                <w:rFonts w:eastAsia="等线" w:ascii="Arial" w:cs="Arial" w:hAnsi="Arial"/>
                <w:sz w:val="22"/>
              </w:rPr>
              <w:t>有效拉新限制必须是团员首次注册</w:t>
            </w:r>
          </w:p>
          <w:p>
            <w:pPr>
              <w:numPr>
                <w:numId w:val="45"/>
              </w:numPr>
              <w:spacing w:before="120" w:after="120" w:line="288" w:lineRule="auto"/>
              <w:ind w:left="0"/>
              <w:jc w:val="left"/>
            </w:pPr>
            <w:r>
              <w:rPr>
                <w:rFonts w:eastAsia="等线" w:ascii="Arial" w:cs="Arial" w:hAnsi="Arial"/>
                <w:sz w:val="22"/>
              </w:rPr>
              <w:t>奖励发放t+7d（好友付费后7d，覆盖退款期）</w:t>
            </w:r>
          </w:p>
          <w:p>
            <w:pPr>
              <w:numPr>
                <w:numId w:val="46"/>
              </w:numPr>
              <w:spacing w:before="120" w:after="120" w:line="288" w:lineRule="auto"/>
              <w:ind w:left="0"/>
              <w:jc w:val="left"/>
            </w:pPr>
            <w:r>
              <w:rPr>
                <w:rFonts w:eastAsia="等线" w:ascii="Arial" w:cs="Arial" w:hAnsi="Arial"/>
                <w:sz w:val="22"/>
              </w:rPr>
              <w:t>设备、ip、支付卡等异常，取消该用户以及关联账户的奖励和活动进程</w:t>
            </w:r>
          </w:p>
          <w:p>
            <w:pPr>
              <w:numPr>
                <w:numId w:val="47"/>
              </w:numPr>
              <w:spacing w:before="120" w:after="120" w:line="288" w:lineRule="auto"/>
              <w:ind w:left="0"/>
              <w:jc w:val="left"/>
            </w:pPr>
            <w:r>
              <w:rPr>
                <w:rFonts w:eastAsia="等线" w:ascii="Arial" w:cs="Arial" w:hAnsi="Arial"/>
                <w:sz w:val="22"/>
              </w:rPr>
              <w:t>异常行为：1分钟内请求超过20次prompt</w:t>
            </w:r>
          </w:p>
          <w:p>
            <w:pPr>
              <w:numPr>
                <w:numId w:val="48"/>
              </w:numPr>
              <w:spacing w:before="120" w:after="120" w:line="288" w:lineRule="auto"/>
              <w:ind w:left="0"/>
              <w:jc w:val="left"/>
            </w:pPr>
            <w:r>
              <w:rPr>
                <w:rFonts w:eastAsia="等线" w:ascii="Arial" w:cs="Arial" w:hAnsi="Arial"/>
                <w:sz w:val="22"/>
              </w:rPr>
              <w:t>禁止转售账号、credits、会员等行为</w:t>
            </w:r>
          </w:p>
          <w:p>
            <w:pPr>
              <w:numPr>
                <w:numId w:val="49"/>
              </w:numPr>
              <w:spacing w:before="120" w:after="120" w:line="288" w:lineRule="auto"/>
              <w:ind w:left="0"/>
              <w:jc w:val="left"/>
            </w:pPr>
            <w:r>
              <w:rPr>
                <w:rFonts w:eastAsia="等线" w:ascii="Arial" w:cs="Arial" w:hAnsi="Arial"/>
                <w:sz w:val="22"/>
              </w:rPr>
              <w:t>动态调整难度和奖励价值</w:t>
            </w:r>
          </w:p>
          <w:p>
            <w:pPr>
              <w:spacing w:before="120" w:after="120" w:line="288" w:lineRule="auto"/>
              <w:ind w:left="0"/>
              <w:jc w:val="left"/>
            </w:pPr>
            <w:r>
              <w:rPr>
                <w:rFonts w:eastAsia="等线" w:ascii="Arial" w:cs="Arial" w:hAnsi="Arial"/>
                <w:b w:val="true"/>
                <w:sz w:val="22"/>
              </w:rPr>
              <w:t xml:space="preserve"> </w:t>
            </w:r>
          </w:p>
        </w:tc>
      </w:tr>
    </w:tbl>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25849">
    <w:lvl>
      <w:start w:val="1"/>
      <w:numFmt w:val="decimal"/>
      <w:suff w:val="tab"/>
      <w:lvlText w:val="%1."/>
      <w:rPr>
        <w:color w:val="3370ff"/>
      </w:rPr>
    </w:lvl>
  </w:abstractNum>
  <w:abstractNum w:abstractNumId="725850">
    <w:lvl>
      <w:start w:val="2"/>
      <w:numFmt w:val="decimal"/>
      <w:suff w:val="tab"/>
      <w:lvlText w:val="%1."/>
      <w:rPr>
        <w:color w:val="3370ff"/>
      </w:rPr>
    </w:lvl>
  </w:abstractNum>
  <w:abstractNum w:abstractNumId="725851">
    <w:lvl>
      <w:start w:val="3"/>
      <w:numFmt w:val="decimal"/>
      <w:suff w:val="tab"/>
      <w:lvlText w:val="%1."/>
      <w:rPr>
        <w:color w:val="3370ff"/>
      </w:rPr>
    </w:lvl>
  </w:abstractNum>
  <w:abstractNum w:abstractNumId="725852">
    <w:lvl>
      <w:start w:val="1"/>
      <w:numFmt w:val="decimal"/>
      <w:suff w:val="tab"/>
      <w:lvlText w:val="%1."/>
      <w:rPr>
        <w:color w:val="3370ff"/>
      </w:rPr>
    </w:lvl>
  </w:abstractNum>
  <w:abstractNum w:abstractNumId="725853">
    <w:lvl>
      <w:start w:val="2"/>
      <w:numFmt w:val="decimal"/>
      <w:suff w:val="tab"/>
      <w:lvlText w:val="%1."/>
      <w:rPr>
        <w:color w:val="3370ff"/>
      </w:rPr>
    </w:lvl>
  </w:abstractNum>
  <w:abstractNum w:abstractNumId="725854">
    <w:lvl>
      <w:start w:val="3"/>
      <w:numFmt w:val="decimal"/>
      <w:suff w:val="tab"/>
      <w:lvlText w:val="%1."/>
      <w:rPr>
        <w:color w:val="3370ff"/>
      </w:rPr>
    </w:lvl>
  </w:abstractNum>
  <w:abstractNum w:abstractNumId="725855">
    <w:lvl>
      <w:start w:val="1"/>
      <w:numFmt w:val="lowerLetter"/>
      <w:suff w:val="tab"/>
      <w:lvlText w:val="%1."/>
      <w:rPr>
        <w:color w:val="3370ff"/>
      </w:rPr>
    </w:lvl>
  </w:abstractNum>
  <w:abstractNum w:abstractNumId="725856">
    <w:lvl>
      <w:start w:val="2"/>
      <w:numFmt w:val="lowerLetter"/>
      <w:suff w:val="tab"/>
      <w:lvlText w:val="%1."/>
      <w:rPr>
        <w:color w:val="3370ff"/>
      </w:rPr>
    </w:lvl>
  </w:abstractNum>
  <w:abstractNum w:abstractNumId="725857">
    <w:lvl>
      <w:start w:val="3"/>
      <w:numFmt w:val="lowerLetter"/>
      <w:suff w:val="tab"/>
      <w:lvlText w:val="%1."/>
      <w:rPr>
        <w:color w:val="3370ff"/>
      </w:rPr>
    </w:lvl>
  </w:abstractNum>
  <w:abstractNum w:abstractNumId="725858">
    <w:lvl>
      <w:start w:val="1"/>
      <w:numFmt w:val="lowerRoman"/>
      <w:suff w:val="tab"/>
      <w:lvlText w:val="%1."/>
      <w:rPr>
        <w:color w:val="3370ff"/>
      </w:rPr>
    </w:lvl>
  </w:abstractNum>
  <w:abstractNum w:abstractNumId="725859">
    <w:lvl>
      <w:start w:val="2"/>
      <w:numFmt w:val="lowerRoman"/>
      <w:suff w:val="tab"/>
      <w:lvlText w:val="%1."/>
      <w:rPr>
        <w:color w:val="3370ff"/>
      </w:rPr>
    </w:lvl>
  </w:abstractNum>
  <w:abstractNum w:abstractNumId="725860">
    <w:lvl>
      <w:start w:val="1"/>
      <w:numFmt w:val="decimal"/>
      <w:suff w:val="tab"/>
      <w:lvlText w:val="%1."/>
      <w:rPr>
        <w:color w:val="3370ff"/>
      </w:rPr>
    </w:lvl>
  </w:abstractNum>
  <w:abstractNum w:abstractNumId="725861">
    <w:lvl>
      <w:start w:val="1"/>
      <w:numFmt w:val="lowerLetter"/>
      <w:suff w:val="tab"/>
      <w:lvlText w:val="%1."/>
      <w:rPr>
        <w:color w:val="3370ff"/>
      </w:rPr>
    </w:lvl>
  </w:abstractNum>
  <w:abstractNum w:abstractNumId="725862">
    <w:lvl>
      <w:start w:val="2"/>
      <w:numFmt w:val="lowerLetter"/>
      <w:suff w:val="tab"/>
      <w:lvlText w:val="%1."/>
      <w:rPr>
        <w:color w:val="3370ff"/>
      </w:rPr>
    </w:lvl>
  </w:abstractNum>
  <w:abstractNum w:abstractNumId="725863">
    <w:lvl>
      <w:start w:val="2"/>
      <w:numFmt w:val="decimal"/>
      <w:suff w:val="tab"/>
      <w:lvlText w:val="%1."/>
      <w:rPr>
        <w:color w:val="3370ff"/>
      </w:rPr>
    </w:lvl>
  </w:abstractNum>
  <w:abstractNum w:abstractNumId="725864">
    <w:lvl>
      <w:start w:val="1"/>
      <w:numFmt w:val="lowerLetter"/>
      <w:suff w:val="tab"/>
      <w:lvlText w:val="%1."/>
      <w:rPr>
        <w:color w:val="3370ff"/>
      </w:rPr>
    </w:lvl>
  </w:abstractNum>
  <w:abstractNum w:abstractNumId="725865">
    <w:lvl>
      <w:start w:val="3"/>
      <w:numFmt w:val="decimal"/>
      <w:suff w:val="tab"/>
      <w:lvlText w:val="%1."/>
      <w:rPr>
        <w:color w:val="3370ff"/>
      </w:rPr>
    </w:lvl>
  </w:abstractNum>
  <w:abstractNum w:abstractNumId="725866">
    <w:lvl>
      <w:start w:val="1"/>
      <w:numFmt w:val="lowerLetter"/>
      <w:suff w:val="tab"/>
      <w:lvlText w:val="%1."/>
      <w:rPr>
        <w:color w:val="3370ff"/>
      </w:rPr>
    </w:lvl>
  </w:abstractNum>
  <w:abstractNum w:abstractNumId="725867">
    <w:lvl>
      <w:start w:val="2"/>
      <w:numFmt w:val="lowerLetter"/>
      <w:suff w:val="tab"/>
      <w:lvlText w:val="%1."/>
      <w:rPr>
        <w:color w:val="3370ff"/>
      </w:rPr>
    </w:lvl>
  </w:abstractNum>
  <w:abstractNum w:abstractNumId="725868">
    <w:lvl>
      <w:start w:val="4"/>
      <w:numFmt w:val="decimal"/>
      <w:suff w:val="tab"/>
      <w:lvlText w:val="%1."/>
      <w:rPr>
        <w:color w:val="3370ff"/>
      </w:rPr>
    </w:lvl>
  </w:abstractNum>
  <w:abstractNum w:abstractNumId="725869">
    <w:lvl>
      <w:numFmt w:val="bullet"/>
      <w:suff w:val="tab"/>
      <w:lvlText w:val="￮"/>
      <w:rPr>
        <w:color w:val="3370ff"/>
      </w:rPr>
    </w:lvl>
  </w:abstractNum>
  <w:abstractNum w:abstractNumId="725870">
    <w:lvl>
      <w:numFmt w:val="bullet"/>
      <w:suff w:val="tab"/>
      <w:lvlText w:val="￮"/>
      <w:rPr>
        <w:color w:val="3370ff"/>
      </w:rPr>
    </w:lvl>
  </w:abstractNum>
  <w:abstractNum w:abstractNumId="725871">
    <w:lvl>
      <w:numFmt w:val="bullet"/>
      <w:suff w:val="tab"/>
      <w:lvlText w:val="￮"/>
      <w:rPr>
        <w:color w:val="3370ff"/>
      </w:rPr>
    </w:lvl>
  </w:abstractNum>
  <w:abstractNum w:abstractNumId="725872">
    <w:lvl>
      <w:numFmt w:val="bullet"/>
      <w:suff w:val="tab"/>
      <w:lvlText w:val="•"/>
      <w:rPr>
        <w:color w:val="3370ff"/>
      </w:rPr>
    </w:lvl>
  </w:abstractNum>
  <w:abstractNum w:abstractNumId="725873">
    <w:lvl>
      <w:numFmt w:val="bullet"/>
      <w:suff w:val="tab"/>
      <w:lvlText w:val="•"/>
      <w:rPr>
        <w:color w:val="3370ff"/>
      </w:rPr>
    </w:lvl>
  </w:abstractNum>
  <w:abstractNum w:abstractNumId="725874">
    <w:lvl>
      <w:numFmt w:val="bullet"/>
      <w:suff w:val="tab"/>
      <w:lvlText w:val="•"/>
      <w:rPr>
        <w:color w:val="3370ff"/>
      </w:rPr>
    </w:lvl>
  </w:abstractNum>
  <w:abstractNum w:abstractNumId="725875">
    <w:lvl>
      <w:start w:val="4"/>
      <w:numFmt w:val="decimal"/>
      <w:suff w:val="tab"/>
      <w:lvlText w:val="%1."/>
      <w:rPr>
        <w:color w:val="3370ff"/>
      </w:rPr>
    </w:lvl>
  </w:abstractNum>
  <w:abstractNum w:abstractNumId="725876">
    <w:lvl>
      <w:start w:val="1"/>
      <w:numFmt w:val="lowerLetter"/>
      <w:suff w:val="tab"/>
      <w:lvlText w:val="%1."/>
      <w:rPr>
        <w:color w:val="3370ff"/>
      </w:rPr>
    </w:lvl>
  </w:abstractNum>
  <w:abstractNum w:abstractNumId="725877">
    <w:lvl>
      <w:start w:val="1"/>
      <w:numFmt w:val="lowerRoman"/>
      <w:suff w:val="tab"/>
      <w:lvlText w:val="%1."/>
      <w:rPr>
        <w:color w:val="3370ff"/>
      </w:rPr>
    </w:lvl>
  </w:abstractNum>
  <w:abstractNum w:abstractNumId="725878">
    <w:lvl>
      <w:start w:val="2"/>
      <w:numFmt w:val="lowerRoman"/>
      <w:suff w:val="tab"/>
      <w:lvlText w:val="%1."/>
      <w:rPr>
        <w:color w:val="3370ff"/>
      </w:rPr>
    </w:lvl>
  </w:abstractNum>
  <w:abstractNum w:abstractNumId="725879">
    <w:lvl>
      <w:start w:val="3"/>
      <w:numFmt w:val="lowerRoman"/>
      <w:suff w:val="tab"/>
      <w:lvlText w:val="%1."/>
      <w:rPr>
        <w:color w:val="3370ff"/>
      </w:rPr>
    </w:lvl>
  </w:abstractNum>
  <w:abstractNum w:abstractNumId="725880">
    <w:lvl>
      <w:start w:val="4"/>
      <w:numFmt w:val="lowerRoman"/>
      <w:suff w:val="tab"/>
      <w:lvlText w:val="%1."/>
      <w:rPr>
        <w:color w:val="3370ff"/>
      </w:rPr>
    </w:lvl>
  </w:abstractNum>
  <w:abstractNum w:abstractNumId="725881">
    <w:lvl>
      <w:start w:val="2"/>
      <w:numFmt w:val="lowerLetter"/>
      <w:suff w:val="tab"/>
      <w:lvlText w:val="%1."/>
      <w:rPr>
        <w:color w:val="3370ff"/>
      </w:rPr>
    </w:lvl>
  </w:abstractNum>
  <w:abstractNum w:abstractNumId="725882">
    <w:lvl>
      <w:start w:val="1"/>
      <w:numFmt w:val="decimal"/>
      <w:suff w:val="tab"/>
      <w:lvlText w:val="%1."/>
      <w:rPr>
        <w:color w:val="3370ff"/>
      </w:rPr>
    </w:lvl>
  </w:abstractNum>
  <w:abstractNum w:abstractNumId="725883">
    <w:lvl>
      <w:start w:val="2"/>
      <w:numFmt w:val="decimal"/>
      <w:suff w:val="tab"/>
      <w:lvlText w:val="%1."/>
      <w:rPr>
        <w:color w:val="3370ff"/>
      </w:rPr>
    </w:lvl>
  </w:abstractNum>
  <w:abstractNum w:abstractNumId="725884">
    <w:lvl>
      <w:start w:val="3"/>
      <w:numFmt w:val="decimal"/>
      <w:suff w:val="tab"/>
      <w:lvlText w:val="%1."/>
      <w:rPr>
        <w:color w:val="3370ff"/>
      </w:rPr>
    </w:lvl>
  </w:abstractNum>
  <w:abstractNum w:abstractNumId="725885">
    <w:lvl>
      <w:start w:val="4"/>
      <w:numFmt w:val="decimal"/>
      <w:suff w:val="tab"/>
      <w:lvlText w:val="%1."/>
      <w:rPr>
        <w:color w:val="3370ff"/>
      </w:rPr>
    </w:lvl>
  </w:abstractNum>
  <w:abstractNum w:abstractNumId="725886">
    <w:lvl>
      <w:start w:val="5"/>
      <w:numFmt w:val="decimal"/>
      <w:suff w:val="tab"/>
      <w:lvlText w:val="%1."/>
      <w:rPr>
        <w:color w:val="3370ff"/>
      </w:rPr>
    </w:lvl>
  </w:abstractNum>
  <w:abstractNum w:abstractNumId="725887">
    <w:lvl>
      <w:start w:val="6"/>
      <w:numFmt w:val="decimal"/>
      <w:suff w:val="tab"/>
      <w:lvlText w:val="%1."/>
      <w:rPr>
        <w:color w:val="3370ff"/>
      </w:rPr>
    </w:lvl>
  </w:abstractNum>
  <w:abstractNum w:abstractNumId="725888">
    <w:lvl>
      <w:start w:val="1"/>
      <w:numFmt w:val="decimal"/>
      <w:suff w:val="tab"/>
      <w:lvlText w:val="%1."/>
      <w:rPr>
        <w:color w:val="3370ff"/>
      </w:rPr>
    </w:lvl>
  </w:abstractNum>
  <w:abstractNum w:abstractNumId="725889">
    <w:lvl>
      <w:start w:val="2"/>
      <w:numFmt w:val="decimal"/>
      <w:suff w:val="tab"/>
      <w:lvlText w:val="%1."/>
      <w:rPr>
        <w:color w:val="3370ff"/>
      </w:rPr>
    </w:lvl>
  </w:abstractNum>
  <w:abstractNum w:abstractNumId="725890">
    <w:lvl>
      <w:start w:val="1"/>
      <w:numFmt w:val="decimal"/>
      <w:suff w:val="tab"/>
      <w:lvlText w:val="%1."/>
      <w:rPr>
        <w:color w:val="3370ff"/>
      </w:rPr>
    </w:lvl>
  </w:abstractNum>
  <w:abstractNum w:abstractNumId="725891">
    <w:lvl>
      <w:start w:val="2"/>
      <w:numFmt w:val="decimal"/>
      <w:suff w:val="tab"/>
      <w:lvlText w:val="%1."/>
      <w:rPr>
        <w:color w:val="3370ff"/>
      </w:rPr>
    </w:lvl>
  </w:abstractNum>
  <w:abstractNum w:abstractNumId="725892">
    <w:lvl>
      <w:start w:val="1"/>
      <w:numFmt w:val="decimal"/>
      <w:suff w:val="tab"/>
      <w:lvlText w:val="%1."/>
      <w:rPr>
        <w:color w:val="3370ff"/>
      </w:rPr>
    </w:lvl>
  </w:abstractNum>
  <w:abstractNum w:abstractNumId="725893">
    <w:lvl>
      <w:start w:val="2"/>
      <w:numFmt w:val="decimal"/>
      <w:suff w:val="tab"/>
      <w:lvlText w:val="%1."/>
      <w:rPr>
        <w:color w:val="3370ff"/>
      </w:rPr>
    </w:lvl>
  </w:abstractNum>
  <w:abstractNum w:abstractNumId="725894">
    <w:lvl>
      <w:start w:val="3"/>
      <w:numFmt w:val="decimal"/>
      <w:suff w:val="tab"/>
      <w:lvlText w:val="%1."/>
      <w:rPr>
        <w:color w:val="3370ff"/>
      </w:rPr>
    </w:lvl>
  </w:abstractNum>
  <w:abstractNum w:abstractNumId="725895">
    <w:lvl>
      <w:start w:val="4"/>
      <w:numFmt w:val="decimal"/>
      <w:suff w:val="tab"/>
      <w:lvlText w:val="%1."/>
      <w:rPr>
        <w:color w:val="3370ff"/>
      </w:rPr>
    </w:lvl>
  </w:abstractNum>
  <w:abstractNum w:abstractNumId="725896">
    <w:lvl>
      <w:start w:val="5"/>
      <w:numFmt w:val="decimal"/>
      <w:suff w:val="tab"/>
      <w:lvlText w:val="%1."/>
      <w:rPr>
        <w:color w:val="3370ff"/>
      </w:rPr>
    </w:lvl>
  </w:abstractNum>
  <w:abstractNum w:abstractNumId="725897">
    <w:lvl>
      <w:start w:val="6"/>
      <w:numFmt w:val="decimal"/>
      <w:suff w:val="tab"/>
      <w:lvlText w:val="%1."/>
      <w:rPr>
        <w:color w:val="3370ff"/>
      </w:rPr>
    </w:lvl>
  </w:abstractNum>
  <w:num w:numId="1">
    <w:abstractNumId w:val="725849"/>
  </w:num>
  <w:num w:numId="2">
    <w:abstractNumId w:val="725850"/>
  </w:num>
  <w:num w:numId="3">
    <w:abstractNumId w:val="725851"/>
  </w:num>
  <w:num w:numId="4">
    <w:abstractNumId w:val="725852"/>
  </w:num>
  <w:num w:numId="5">
    <w:abstractNumId w:val="725853"/>
  </w:num>
  <w:num w:numId="6">
    <w:abstractNumId w:val="725854"/>
  </w:num>
  <w:num w:numId="7">
    <w:abstractNumId w:val="725855"/>
  </w:num>
  <w:num w:numId="8">
    <w:abstractNumId w:val="725856"/>
  </w:num>
  <w:num w:numId="9">
    <w:abstractNumId w:val="725857"/>
  </w:num>
  <w:num w:numId="10">
    <w:abstractNumId w:val="725858"/>
  </w:num>
  <w:num w:numId="11">
    <w:abstractNumId w:val="725859"/>
  </w:num>
  <w:num w:numId="12">
    <w:abstractNumId w:val="725860"/>
  </w:num>
  <w:num w:numId="13">
    <w:abstractNumId w:val="725861"/>
  </w:num>
  <w:num w:numId="14">
    <w:abstractNumId w:val="725862"/>
  </w:num>
  <w:num w:numId="15">
    <w:abstractNumId w:val="725863"/>
  </w:num>
  <w:num w:numId="16">
    <w:abstractNumId w:val="725864"/>
  </w:num>
  <w:num w:numId="17">
    <w:abstractNumId w:val="725865"/>
  </w:num>
  <w:num w:numId="18">
    <w:abstractNumId w:val="725866"/>
  </w:num>
  <w:num w:numId="19">
    <w:abstractNumId w:val="725867"/>
  </w:num>
  <w:num w:numId="20">
    <w:abstractNumId w:val="725868"/>
  </w:num>
  <w:num w:numId="21">
    <w:abstractNumId w:val="725869"/>
  </w:num>
  <w:num w:numId="22">
    <w:abstractNumId w:val="725870"/>
  </w:num>
  <w:num w:numId="23">
    <w:abstractNumId w:val="725871"/>
  </w:num>
  <w:num w:numId="24">
    <w:abstractNumId w:val="725872"/>
  </w:num>
  <w:num w:numId="25">
    <w:abstractNumId w:val="725873"/>
  </w:num>
  <w:num w:numId="26">
    <w:abstractNumId w:val="725874"/>
  </w:num>
  <w:num w:numId="27">
    <w:abstractNumId w:val="725875"/>
  </w:num>
  <w:num w:numId="28">
    <w:abstractNumId w:val="725876"/>
  </w:num>
  <w:num w:numId="29">
    <w:abstractNumId w:val="725877"/>
  </w:num>
  <w:num w:numId="30">
    <w:abstractNumId w:val="725878"/>
  </w:num>
  <w:num w:numId="31">
    <w:abstractNumId w:val="725879"/>
  </w:num>
  <w:num w:numId="32">
    <w:abstractNumId w:val="725880"/>
  </w:num>
  <w:num w:numId="33">
    <w:abstractNumId w:val="725881"/>
  </w:num>
  <w:num w:numId="34">
    <w:abstractNumId w:val="725882"/>
  </w:num>
  <w:num w:numId="35">
    <w:abstractNumId w:val="725883"/>
  </w:num>
  <w:num w:numId="36">
    <w:abstractNumId w:val="725884"/>
  </w:num>
  <w:num w:numId="37">
    <w:abstractNumId w:val="725885"/>
  </w:num>
  <w:num w:numId="38">
    <w:abstractNumId w:val="725886"/>
  </w:num>
  <w:num w:numId="39">
    <w:abstractNumId w:val="725887"/>
  </w:num>
  <w:num w:numId="40">
    <w:abstractNumId w:val="725888"/>
  </w:num>
  <w:num w:numId="41">
    <w:abstractNumId w:val="725889"/>
  </w:num>
  <w:num w:numId="42">
    <w:abstractNumId w:val="725890"/>
  </w:num>
  <w:num w:numId="43">
    <w:abstractNumId w:val="725891"/>
  </w:num>
  <w:num w:numId="44">
    <w:abstractNumId w:val="725892"/>
  </w:num>
  <w:num w:numId="45">
    <w:abstractNumId w:val="725893"/>
  </w:num>
  <w:num w:numId="46">
    <w:abstractNumId w:val="725894"/>
  </w:num>
  <w:num w:numId="47">
    <w:abstractNumId w:val="725895"/>
  </w:num>
  <w:num w:numId="48">
    <w:abstractNumId w:val="725896"/>
  </w:num>
  <w:num w:numId="49">
    <w:abstractNumId w:val="72589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1.xlsx" Type="http://schemas.openxmlformats.org/officeDocument/2006/relationships/package"/><Relationship Id="rId11" Target="media/image6.png" Type="http://schemas.openxmlformats.org/officeDocument/2006/relationships/image"/><Relationship Id="rId12" Target="embeddings/Microsoft_Excel_Worksheet2.xlsx" Type="http://schemas.openxmlformats.org/officeDocument/2006/relationships/package"/><Relationship Id="rId13" Target="media/image7.png" Type="http://schemas.openxmlformats.org/officeDocument/2006/relationships/image"/><Relationship Id="rId14" Target="embeddings/Microsoft_Excel_Worksheet3.xlsx" Type="http://schemas.openxmlformats.org/officeDocument/2006/relationships/package"/><Relationship Id="rId15" Target="media/image8.png" Type="http://schemas.openxmlformats.org/officeDocument/2006/relationships/image"/><Relationship Id="rId16" Target="media/image9.png" Type="http://schemas.openxmlformats.org/officeDocument/2006/relationships/image"/><Relationship Id="rId17" Target="embeddings/Microsoft_Excel_Worksheet4.xlsx" Type="http://schemas.openxmlformats.org/officeDocument/2006/relationships/pack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2026-08-29T22:36:17Z</dcterms:created>
  <dc:creator>Apache POI</dc:creator>
</cp:coreProperties>
</file>