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highlight w:val="white"/>
          <w:u w:val="none"/>
          <w:vertAlign w:val="baseline"/>
          <w:rtl w:val="0"/>
        </w:rPr>
        <w:t xml:space="preserve">Términos y definiciones del Curso 2</w:t>
      </w:r>
    </w:p>
    <w:p w:rsidR="00000000" w:rsidDel="00000000" w:rsidP="00000000" w:rsidRDefault="00000000" w:rsidRPr="00000000" w14:paraId="00000002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Activo: </w:t>
      </w:r>
      <w:r w:rsidDel="00000000" w:rsidR="00000000" w:rsidRPr="00000000">
        <w:rPr>
          <w:rtl w:val="0"/>
        </w:rPr>
        <w:t xml:space="preserve">Elemento percibido como valioso para una organización.</w:t>
      </w:r>
    </w:p>
    <w:p w:rsidR="00000000" w:rsidDel="00000000" w:rsidP="00000000" w:rsidRDefault="00000000" w:rsidRPr="00000000" w14:paraId="00000005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Amenaza: </w:t>
      </w:r>
      <w:r w:rsidDel="00000000" w:rsidR="00000000" w:rsidRPr="00000000">
        <w:rPr>
          <w:rtl w:val="0"/>
        </w:rPr>
        <w:t xml:space="preserve">Cualquier circunstancia o evento que pueda afectar los activos de manera negativa.</w:t>
      </w:r>
    </w:p>
    <w:p w:rsidR="00000000" w:rsidDel="00000000" w:rsidP="00000000" w:rsidRDefault="00000000" w:rsidRPr="00000000" w14:paraId="00000006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 externa: </w:t>
      </w:r>
      <w:r w:rsidDel="00000000" w:rsidR="00000000" w:rsidRPr="00000000">
        <w:rPr>
          <w:rtl w:val="0"/>
        </w:rPr>
        <w:t xml:space="preserve">Cualquier </w:t>
      </w:r>
      <w:r w:rsidDel="00000000" w:rsidR="00000000" w:rsidRPr="00000000">
        <w:rPr>
          <w:shd w:fill="auto" w:val="clear"/>
          <w:rtl w:val="0"/>
        </w:rPr>
        <w:t xml:space="preserve">riesgo a la seguridad</w:t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producido</w:t>
      </w:r>
      <w:r w:rsidDel="00000000" w:rsidR="00000000" w:rsidRPr="00000000">
        <w:rPr>
          <w:rtl w:val="0"/>
        </w:rPr>
        <w:t xml:space="preserve"> fuera de la organización que tenga el potencial de dañar sus 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 interna: </w:t>
      </w:r>
      <w:r w:rsidDel="00000000" w:rsidR="00000000" w:rsidRPr="00000000">
        <w:rPr>
          <w:shd w:fill="auto" w:val="clear"/>
          <w:rtl w:val="0"/>
        </w:rPr>
        <w:t xml:space="preserve">Riesgo a la seguridad</w:t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producido por una persona que pertenece o </w:t>
      </w:r>
      <w:r w:rsidDel="00000000" w:rsidR="00000000" w:rsidRPr="00000000">
        <w:rPr>
          <w:shd w:fill="auto" w:val="clear"/>
          <w:rtl w:val="0"/>
        </w:rPr>
        <w:t xml:space="preserve">perteneció</w:t>
      </w:r>
      <w:r w:rsidDel="00000000" w:rsidR="00000000" w:rsidRPr="00000000">
        <w:rPr>
          <w:shd w:fill="auto" w:val="clear"/>
          <w:rtl w:val="0"/>
        </w:rPr>
        <w:t xml:space="preserve"> a una empresa</w:t>
      </w:r>
      <w:r w:rsidDel="00000000" w:rsidR="00000000" w:rsidRPr="00000000">
        <w:rPr>
          <w:b w:val="1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o tiene una relación directa o de confianza con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de seguridad: </w:t>
      </w:r>
      <w:r w:rsidDel="00000000" w:rsidR="00000000" w:rsidRPr="00000000">
        <w:rPr>
          <w:rtl w:val="0"/>
        </w:rPr>
        <w:t xml:space="preserve">Revisión de los controles, políticas y procedimientos de seguridad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Autenticación: </w:t>
      </w:r>
      <w:r w:rsidDel="00000000" w:rsidR="00000000" w:rsidRPr="00000000">
        <w:rPr>
          <w:rtl w:val="0"/>
        </w:rPr>
        <w:t xml:space="preserve">Proceso de verificar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Autorización: </w:t>
      </w:r>
      <w:r w:rsidDel="00000000" w:rsidR="00000000" w:rsidRPr="00000000">
        <w:rPr>
          <w:rtl w:val="0"/>
        </w:rPr>
        <w:t xml:space="preserve">Proceso de determinar si un/a usuario/a autentificado/a tiene acceso</w:t>
      </w:r>
      <w:r w:rsidDel="00000000" w:rsidR="00000000" w:rsidRPr="00000000">
        <w:rPr>
          <w:rtl w:val="0"/>
        </w:rPr>
        <w:t xml:space="preserve"> a recursos específicos en un sistema.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Autorizar: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exto paso del RMF del NIST que se refiere a asumir la responsabilidad de los riesgos de seguridad y privacidad que puedan existir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0D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Biometría:</w:t>
      </w:r>
      <w:r w:rsidDel="00000000" w:rsidR="00000000" w:rsidRPr="00000000">
        <w:rPr>
          <w:rtl w:val="0"/>
        </w:rPr>
        <w:t xml:space="preserve"> (Consultar </w:t>
      </w:r>
      <w:r w:rsidDel="00000000" w:rsidR="00000000" w:rsidRPr="00000000">
        <w:rPr>
          <w:b w:val="1"/>
          <w:rtl w:val="0"/>
        </w:rPr>
        <w:t xml:space="preserve">Datos biométricos</w:t>
      </w:r>
      <w:r w:rsidDel="00000000" w:rsidR="00000000" w:rsidRPr="00000000">
        <w:rPr>
          <w:rtl w:val="0"/>
        </w:rPr>
        <w:t xml:space="preserve">).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E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Categorizar: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egundo paso 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del Marco de Gestión de Riesgos (RMF) del NIST,</w:t>
      </w:r>
      <w:r w:rsidDel="00000000" w:rsidR="00000000" w:rsidRPr="00000000">
        <w:rPr>
          <w:rtl w:val="0"/>
        </w:rPr>
        <w:t xml:space="preserve"> que se lleva a cabo para desarrollar procesos y tareas de gestión de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Chronicle:</w:t>
      </w:r>
      <w:r w:rsidDel="00000000" w:rsidR="00000000" w:rsidRPr="00000000">
        <w:rPr>
          <w:rtl w:val="0"/>
        </w:rPr>
        <w:t xml:space="preserve"> Herramienta nativa de la nube diseñada para conservar, analizar y buscar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Cifrado: </w:t>
      </w:r>
      <w:r w:rsidDel="00000000" w:rsidR="00000000" w:rsidRPr="00000000">
        <w:rPr>
          <w:rtl w:val="0"/>
        </w:rPr>
        <w:t xml:space="preserve">Proceso de convertir datos de un formato legible a uno codificado con el fin de protegerlos.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Confidencialidad: </w:t>
      </w:r>
      <w:r w:rsidDel="00000000" w:rsidR="00000000" w:rsidRPr="00000000">
        <w:rPr>
          <w:shd w:fill="auto" w:val="clear"/>
          <w:rtl w:val="0"/>
        </w:rPr>
        <w:t xml:space="preserve">Propiedad según la cual únicamente las personas autorizadas pueden acceder a activos o datos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Continuidad del negocio: </w:t>
      </w:r>
      <w:r w:rsidDel="00000000" w:rsidR="00000000" w:rsidRPr="00000000">
        <w:rPr>
          <w:rtl w:val="0"/>
        </w:rPr>
        <w:t xml:space="preserve">Capacidad de una organización para seguir funcionando durante una interrupción no planificada del servicio.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4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Controles de seguridad: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edidas de prevención diseñadas para reducir riesgos de ciberseguridad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16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Datos biométricos: </w:t>
      </w:r>
      <w:r w:rsidDel="00000000" w:rsidR="00000000" w:rsidRPr="00000000">
        <w:rPr>
          <w:rtl w:val="0"/>
        </w:rPr>
        <w:t xml:space="preserve">Características físicas únicas que se pueden utilizar para verificar la identidad de una persona.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7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Detectar: </w:t>
      </w:r>
      <w:r w:rsidDel="00000000" w:rsidR="00000000" w:rsidRPr="00000000">
        <w:rPr>
          <w:rtl w:val="0"/>
        </w:rPr>
        <w:t xml:space="preserve">Función central del NIST relacionada con la identificación de posibles incidentes de seguridad y la mejora de las capacidades de monitoreo y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Propiedad </w:t>
      </w:r>
      <w:r w:rsidDel="00000000" w:rsidR="00000000" w:rsidRPr="00000000">
        <w:rPr>
          <w:rtl w:val="0"/>
        </w:rPr>
        <w:t xml:space="preserve">según</w:t>
      </w:r>
      <w:r w:rsidDel="00000000" w:rsidR="00000000" w:rsidRPr="00000000">
        <w:rPr>
          <w:rtl w:val="0"/>
        </w:rPr>
        <w:t xml:space="preserve"> la cual </w:t>
      </w:r>
      <w:r w:rsidDel="00000000" w:rsidR="00000000" w:rsidRPr="00000000">
        <w:rPr>
          <w:shd w:fill="auto" w:val="clear"/>
          <w:rtl w:val="0"/>
        </w:rPr>
        <w:t xml:space="preserve">todas las personas autorizadas pueden acceder a activos o datos específicos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E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1A">
      <w:pPr>
        <w:spacing w:after="240" w:line="240" w:lineRule="auto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Evaluar: 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Quinto paso del Marco de Gestión de Riesgos (RMF) del NIST, para determinar si los controles establecidos se han implementado correctamente</w:t>
      </w:r>
    </w:p>
    <w:p w:rsidR="00000000" w:rsidDel="00000000" w:rsidP="00000000" w:rsidRDefault="00000000" w:rsidRPr="00000000" w14:paraId="0000001B">
      <w:pPr>
        <w:spacing w:after="240" w:line="240" w:lineRule="auto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Gestión de eventos e información de seguridad </w:t>
      </w:r>
      <w:r w:rsidDel="00000000" w:rsidR="00000000" w:rsidRPr="00000000">
        <w:rPr>
          <w:b w:val="1"/>
          <w:rtl w:val="0"/>
        </w:rPr>
        <w:t xml:space="preserve">(SIEM </w:t>
      </w:r>
      <w:r w:rsidDel="00000000" w:rsidR="00000000" w:rsidRPr="00000000">
        <w:rPr>
          <w:b w:val="1"/>
          <w:shd w:fill="auto" w:val="clear"/>
          <w:rtl w:val="0"/>
        </w:rPr>
        <w:t xml:space="preserve">por sus siglas en inglés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Solución de seguridad que recopila y analiza los datos de registro para monitorear actividades críticas en una organización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1E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</w:t>
      </w:r>
      <w:r w:rsidDel="00000000" w:rsidR="00000000" w:rsidRPr="00000000">
        <w:rPr>
          <w:rtl w:val="0"/>
        </w:rPr>
        <w:t xml:space="preserve">: Función central del NIST relacionada con la gestión del riesgo de ciberseguridad y su efecto sobre las personas y los activos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Implementar:</w:t>
      </w:r>
      <w:r w:rsidDel="00000000" w:rsidR="00000000" w:rsidRPr="00000000">
        <w:rPr>
          <w:rtl w:val="0"/>
        </w:rPr>
        <w:t xml:space="preserve"> Cuarto paso 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del Marco de Gestión de Riesgos (RMF) del NIST</w:t>
      </w:r>
      <w:r w:rsidDel="00000000" w:rsidR="00000000" w:rsidRPr="00000000">
        <w:rPr>
          <w:rtl w:val="0"/>
        </w:rPr>
        <w:t xml:space="preserve">, que consiste en aplicar planes de seguridad y privacidad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social: </w:t>
      </w:r>
      <w:r w:rsidDel="00000000" w:rsidR="00000000" w:rsidRPr="00000000">
        <w:rPr>
          <w:shd w:fill="auto" w:val="clear"/>
          <w:rtl w:val="0"/>
        </w:rPr>
        <w:t xml:space="preserve">Técnica de manipulación que busca engañar a las personas con el fin de que revelen información o realicen determinadas 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Integridad: </w:t>
      </w:r>
      <w:r w:rsidDel="00000000" w:rsidR="00000000" w:rsidRPr="00000000">
        <w:rPr>
          <w:shd w:fill="auto" w:val="clear"/>
          <w:rtl w:val="0"/>
        </w:rPr>
        <w:t xml:space="preserve">Cualidad</w:t>
      </w:r>
      <w:r w:rsidDel="00000000" w:rsidR="00000000" w:rsidRPr="00000000">
        <w:rPr>
          <w:shd w:fill="auto" w:val="clear"/>
          <w:rtl w:val="0"/>
        </w:rPr>
        <w:t xml:space="preserve"> que identifica los datos como correctos, auténticos y confiables.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23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Log: </w:t>
      </w:r>
      <w:r w:rsidDel="00000000" w:rsidR="00000000" w:rsidRPr="00000000">
        <w:rPr>
          <w:rtl w:val="0"/>
        </w:rPr>
        <w:t xml:space="preserve">(Consultar</w:t>
      </w:r>
      <w:r w:rsidDel="00000000" w:rsidR="00000000" w:rsidRPr="00000000">
        <w:rPr>
          <w:b w:val="1"/>
          <w:rtl w:val="0"/>
        </w:rPr>
        <w:t xml:space="preserve"> Registro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M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5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estrategias: </w:t>
      </w:r>
      <w:r w:rsidDel="00000000" w:rsidR="00000000" w:rsidRPr="00000000">
        <w:rPr>
          <w:rtl w:val="0"/>
        </w:rPr>
        <w:t xml:space="preserve">Guía</w:t>
      </w:r>
      <w:r w:rsidDel="00000000" w:rsidR="00000000" w:rsidRPr="00000000">
        <w:rPr>
          <w:rtl w:val="0"/>
        </w:rPr>
        <w:t xml:space="preserve"> que proporciona detalles sobre cualquier acción operativa.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Marco de Ciberseguridad (CSF) del Instituto Nacional de Estándares y Tecnología (NIST): </w:t>
      </w:r>
      <w:r w:rsidDel="00000000" w:rsidR="00000000" w:rsidRPr="00000000">
        <w:rPr>
          <w:rtl w:val="0"/>
        </w:rPr>
        <w:t xml:space="preserve">Marco de adhesión voluntaria </w:t>
      </w:r>
      <w:r w:rsidDel="00000000" w:rsidR="00000000" w:rsidRPr="00000000">
        <w:rPr>
          <w:shd w:fill="auto" w:val="clear"/>
          <w:rtl w:val="0"/>
        </w:rPr>
        <w:t xml:space="preserve">creado en los Estados Unidos, que incluye estándares, pautas y prácticas recomendadas para gestionar los riesgos de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de seguridad:</w:t>
      </w:r>
      <w:r w:rsidDel="00000000" w:rsidR="00000000" w:rsidRPr="00000000">
        <w:rPr>
          <w:rtl w:val="0"/>
        </w:rPr>
        <w:t xml:space="preserve"> Pautas utilizadas para crear planes que ayuden a mitigar el riesgo y las amenazas a los datos y la privacidad.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8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 </w:t>
      </w:r>
      <w:r w:rsidDel="00000000" w:rsidR="00000000" w:rsidRPr="00000000">
        <w:rPr>
          <w:rtl w:val="0"/>
        </w:rPr>
        <w:t xml:space="preserve">Atributos técnicos clave, como el tiempo de respuesta, la disponibilidad y la tasa de fallos, que se utilizan para evaluar el rendimiento de una aplicación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Monitorear</w:t>
      </w:r>
      <w:r w:rsidDel="00000000" w:rsidR="00000000" w:rsidRPr="00000000">
        <w:rPr>
          <w:rtl w:val="0"/>
        </w:rPr>
        <w:t xml:space="preserve">: Séptimo paso 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del Marco de Gestión de Riesgos (RMF) del NIST, </w:t>
      </w:r>
      <w:r w:rsidDel="00000000" w:rsidR="00000000" w:rsidRPr="00000000">
        <w:rPr>
          <w:rtl w:val="0"/>
        </w:rPr>
        <w:t xml:space="preserve">que consiste en evaluar cómo están funcionando los sistemas.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A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2B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Web Application Security Project (OWASP): </w:t>
      </w:r>
      <w:r w:rsidDel="00000000" w:rsidR="00000000" w:rsidRPr="00000000">
        <w:rPr>
          <w:rtl w:val="0"/>
        </w:rPr>
        <w:t xml:space="preserve">Organización sin fines de lucro centrada en mejorar la seguridad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Orquestación, automatización y respuesta de seguridad (SOAR):</w:t>
      </w:r>
      <w:r w:rsidDel="00000000" w:rsidR="00000000" w:rsidRPr="00000000">
        <w:rPr>
          <w:rtl w:val="0"/>
        </w:rPr>
        <w:t xml:space="preserve"> Conjunto de aplicaciones, herramientas y flujos de trabajo que utilizan la automatización para responder a incidentes de seguridad.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2D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Playbook:</w:t>
      </w:r>
      <w:r w:rsidDel="00000000" w:rsidR="00000000" w:rsidRPr="00000000">
        <w:rPr>
          <w:rtl w:val="0"/>
        </w:rPr>
        <w:t xml:space="preserve"> (Consultar</w:t>
      </w:r>
      <w:r w:rsidDel="00000000" w:rsidR="00000000" w:rsidRPr="00000000">
        <w:rPr>
          <w:b w:val="1"/>
          <w:rtl w:val="0"/>
        </w:rPr>
        <w:t xml:space="preserve"> Manual de estrategias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Postura de seguridad:</w:t>
      </w:r>
      <w:r w:rsidDel="00000000" w:rsidR="00000000" w:rsidRPr="00000000">
        <w:rPr>
          <w:rtl w:val="0"/>
        </w:rPr>
        <w:t xml:space="preserve"> Capacidad de una organización para administrar la defensa de sus activos y datos críticos y reaccionar ante los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Preparar: 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Primer paso del Marco de Gestión de Riesgos (RMF) del NIST, relacionado con las actividades necesarias para gestionar los riesgos de seguridad y privacidad antes de que se produzca una vulneración.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Proteger:</w:t>
      </w:r>
      <w:r w:rsidDel="00000000" w:rsidR="00000000" w:rsidRPr="00000000">
        <w:rPr>
          <w:rtl w:val="0"/>
        </w:rPr>
        <w:t xml:space="preserve"> Función central del NIST que consiste en resguardar a una organización a través de la implementación de políticas, procedimientos, capacitación y herramientas que ayuden a mitigar las amenazas a la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 Especial (SP) del Instituto Nacional de Estándares y Tecnología (NIST) 800-53: </w:t>
      </w:r>
      <w:r w:rsidDel="00000000" w:rsidR="00000000" w:rsidRPr="00000000">
        <w:rPr>
          <w:rtl w:val="0"/>
        </w:rPr>
        <w:t xml:space="preserve">Marco unificado para proteger la seguridad de los sistemas de información dentro del gobierno federal de los EE.UU.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33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34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Ransomware:</w:t>
      </w:r>
      <w:r w:rsidDel="00000000" w:rsidR="00000000" w:rsidRPr="00000000">
        <w:rPr>
          <w:rtl w:val="0"/>
        </w:rPr>
        <w:t xml:space="preserve"> (Consular </w:t>
      </w:r>
      <w:r w:rsidDel="00000000" w:rsidR="00000000" w:rsidRPr="00000000">
        <w:rPr>
          <w:b w:val="1"/>
          <w:rtl w:val="0"/>
        </w:rPr>
        <w:t xml:space="preserve">Secuestro de datos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Recuperar: </w:t>
      </w:r>
      <w:r w:rsidDel="00000000" w:rsidR="00000000" w:rsidRPr="00000000">
        <w:rPr>
          <w:rtl w:val="0"/>
        </w:rPr>
        <w:t xml:space="preserve">Función central del NIST que consiste en restablecer el funcionamiento normal de los sistemas afectados.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Reducción del riesgo: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roceso de disponer de procedimientos y reglas adecuadas para reducir rápidamente el impacto de cualquier amenaza, por ejemplo, una brecha.</w:t>
      </w:r>
    </w:p>
    <w:p w:rsidR="00000000" w:rsidDel="00000000" w:rsidP="00000000" w:rsidRDefault="00000000" w:rsidRPr="00000000" w14:paraId="00000037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Registro (log):</w:t>
      </w:r>
      <w:r w:rsidDel="00000000" w:rsidR="00000000" w:rsidRPr="00000000">
        <w:rPr>
          <w:rtl w:val="0"/>
        </w:rPr>
        <w:t xml:space="preserve"> Inventario de eventos que tienen lugar dentro de los sistemas de una organización.</w:t>
      </w:r>
    </w:p>
    <w:bookmarkStart w:colFirst="0" w:colLast="0" w:name="bookmark=kix.mfk3y14rnqtw" w:id="11"/>
    <w:bookmarkEnd w:id="11"/>
    <w:p w:rsidR="00000000" w:rsidDel="00000000" w:rsidP="00000000" w:rsidRDefault="00000000" w:rsidRPr="00000000" w14:paraId="00000038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Responder:</w:t>
      </w:r>
      <w:r w:rsidDel="00000000" w:rsidR="00000000" w:rsidRPr="00000000">
        <w:rPr>
          <w:rtl w:val="0"/>
        </w:rPr>
        <w:t xml:space="preserve"> Función central del NIST relacionada con asegurarse de que se utilicen los procedimientos adecuados para contener, neutralizar y analizar incidentes de seguridad, e implementar mejoras en el proceso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 compartida:</w:t>
      </w:r>
      <w:r w:rsidDel="00000000" w:rsidR="00000000" w:rsidRPr="00000000">
        <w:rPr>
          <w:rtl w:val="0"/>
        </w:rPr>
        <w:t xml:space="preserve"> Idea de que todas las personas de una organización asuman un papel activo en la reducción del riesgo y el mantenimiento de la seguridad física y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a incidentes: </w:t>
      </w:r>
      <w:r w:rsidDel="00000000" w:rsidR="00000000" w:rsidRPr="00000000">
        <w:rPr>
          <w:rtl w:val="0"/>
        </w:rPr>
        <w:t xml:space="preserve">Intento rápido de una organización de identificar un ataque, contener los daños y corregir los efectos de una infracción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Cualquier </w:t>
      </w:r>
      <w:r w:rsidDel="00000000" w:rsidR="00000000" w:rsidRPr="00000000">
        <w:rPr>
          <w:highlight w:val="green"/>
          <w:rtl w:val="0"/>
        </w:rPr>
        <w:t xml:space="preserve">hecho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pueda afectar a la confidencialidad, integridad o disponibilidad de un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3D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Secuestro de datos (Ransomware)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Ataque malicioso que consiste en cifrar los datos de una organización para exigir el pago de un rescate para restablecer el acceso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Tercer paso del Marco de Gestión de Riesgos (RMF) del NIST</w:t>
      </w:r>
      <w:r w:rsidDel="00000000" w:rsidR="00000000" w:rsidRPr="00000000">
        <w:rPr>
          <w:rtl w:val="0"/>
        </w:rPr>
        <w:t xml:space="preserve"> que consiste en elegir, personalizar y capturar la documentación de los controles que protegen 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b w:val="1"/>
          <w:highlight w:val="green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perativo (SO):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nterfaz entre la computadora y el/la usuario/a.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antivirus:</w:t>
      </w:r>
      <w:r w:rsidDel="00000000" w:rsidR="00000000" w:rsidRPr="00000000">
        <w:rPr>
          <w:rtl w:val="0"/>
        </w:rPr>
        <w:t xml:space="preserve"> Programa utilizado para prevenir, detectar y eliminar software malicioso y virus.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Splunk Cloud: </w:t>
      </w:r>
      <w:r w:rsidDel="00000000" w:rsidR="00000000" w:rsidRPr="00000000">
        <w:rPr>
          <w:rtl w:val="0"/>
        </w:rPr>
        <w:t xml:space="preserve">Herramienta alojada en la nube que se utiliza para recopilar, buscar y monitorear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Splunk Enterprise: </w:t>
      </w:r>
      <w:r w:rsidDel="00000000" w:rsidR="00000000" w:rsidRPr="00000000">
        <w:rPr>
          <w:rtl w:val="0"/>
        </w:rPr>
        <w:t xml:space="preserve">Herramienta utilizada para retener, analizar y buscar datos de registro de una organización y proporcionar información de seguridad y alertas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44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Tríada de confidencialidad, integridad y disponibilidad (CID): </w:t>
      </w:r>
      <w:r w:rsidDel="00000000" w:rsidR="00000000" w:rsidRPr="00000000">
        <w:rPr>
          <w:shd w:fill="auto" w:val="clear"/>
          <w:rtl w:val="0"/>
        </w:rPr>
        <w:t xml:space="preserve">Guía que ayuda a las organizaciones a evaluar los riesgos y establecer sistemas y políticas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46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de ataque: 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tl w:val="0"/>
        </w:rPr>
        <w:t xml:space="preserve"> que se utiliza para penetrar las defensas de seguridad de un sistema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Vulnerabilidad: </w:t>
      </w:r>
      <w:r w:rsidDel="00000000" w:rsidR="00000000" w:rsidRPr="00000000">
        <w:rPr>
          <w:rtl w:val="0"/>
        </w:rPr>
        <w:t xml:space="preserve">Debilidad que puede ser aprovechada por una amenaza.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26in1rg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rPr>
        <w:color w:val="666666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highlight w:val="white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Heading31" w:customStyle="1">
    <w:name w:val="P68B1DB1-Heading31"/>
    <w:basedOn w:val="3"/>
    <w:rPr>
      <w:b w:val="1"/>
    </w:rPr>
  </w:style>
  <w:style w:type="paragraph" w:styleId="P68B1DB1-Heading12" w:customStyle="1">
    <w:name w:val="P68B1DB1-Heading12"/>
    <w:basedOn w:val="1"/>
    <w:rPr>
      <w:color w:val="4285f4"/>
      <w:sz w:val="48"/>
    </w:rPr>
  </w:style>
  <w:style w:type="paragraph" w:styleId="P68B1DB1-Normal3" w:customStyle="1">
    <w:name w:val="P68B1DB1-Normal3"/>
    <w:basedOn w:val="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to6VSc7pdi5U9uzPFJW798AQg==">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2023-05-30T20:57:00Z</dcterms:created>
</cp:coreProperties>
</file>