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缺陷管理制度</w:t>
      </w: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编制人：闫茜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日期：2018年1月23日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审核人：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批准日期：</w:t>
            </w:r>
          </w:p>
        </w:tc>
      </w:tr>
    </w:tbl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sdt>
      <w:sdtPr>
        <w:rPr>
          <w:rFonts w:ascii="宋体" w:hAnsi="宋体" w:eastAsia="宋体"/>
          <w:sz w:val="21"/>
        </w:rPr>
        <w:id w:val="147475739"/>
        <w:docPartObj>
          <w:docPartGallery w:val="Table of Contents"/>
          <w:docPartUnique/>
        </w:docPartObj>
      </w:sdtPr>
      <w:sdtEndPr>
        <w:rPr>
          <w:rFonts w:ascii="宋体" w:hAnsi="宋体" w:eastAsia="宋体"/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_Toc6409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75739"/>
              <w:placeholder>
                <w:docPart w:val="{20a1d101-479d-4919-8282-be113a5e1cb7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一、 角色与职责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_Toc4723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75739"/>
              <w:placeholder>
                <w:docPart w:val="{b35b37e9-d3eb-4e52-b545-b55ed58534ca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二、 缺陷管理工具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_Toc30046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75739"/>
              <w:placeholder>
                <w:docPart w:val="{c7e79bad-0c5f-4823-adc5-ae86f1d2b3ab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三、 主要步骤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 xml:space="preserve">  </w:t>
          </w:r>
          <w:r>
            <w:fldChar w:fldCharType="begin"/>
          </w:r>
          <w:r>
            <w:instrText xml:space="preserve"> HYPERLINK \l _Toc20937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75739"/>
              <w:placeholder>
                <w:docPart w:val="{23fa32cf-71a1-476f-9529-31eafbc16358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1. 定义缺陷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 xml:space="preserve">    </w:t>
          </w:r>
          <w:r>
            <w:fldChar w:fldCharType="begin"/>
          </w:r>
          <w:r>
            <w:instrText xml:space="preserve"> HYPERLINK \l _Toc13108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75739"/>
              <w:placeholder>
                <w:docPart w:val="{43ba6b9e-df50-4792-88d8-88412be95db2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1&gt; 缺陷类型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_Toc22621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75739"/>
              <w:placeholder>
                <w:docPart w:val="{5a80bbb5-c0d0-4be4-a000-a67500fd9dd2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/>
                  <w:sz w:val="20"/>
                  <w:szCs w:val="20"/>
                  <w:lang w:val="en-US" w:eastAsia="zh-CN"/>
                </w:rPr>
                <w:t xml:space="preserve">    </w:t>
              </w:r>
              <w:r>
                <w:rPr>
                  <w:rFonts w:hint="eastAsia" w:ascii="微软雅黑" w:hAnsi="微软雅黑" w:eastAsia="微软雅黑" w:cs="微软雅黑"/>
                </w:rPr>
                <w:t>2&gt; 缺陷严重程度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 xml:space="preserve">    </w:t>
          </w:r>
          <w:r>
            <w:fldChar w:fldCharType="begin"/>
          </w:r>
          <w:r>
            <w:instrText xml:space="preserve"> HYPERLINK \l _Toc17492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75739"/>
              <w:placeholder>
                <w:docPart w:val="{9c023420-642e-496e-a216-dcf5f9893ee4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3&gt; 缺陷优先级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 xml:space="preserve">    </w:t>
          </w:r>
          <w:r>
            <w:fldChar w:fldCharType="begin"/>
          </w:r>
          <w:r>
            <w:instrText xml:space="preserve"> HYPERLINK \l _Toc1803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75739"/>
              <w:placeholder>
                <w:docPart w:val="{b9af3e51-bd0e-42f4-9a6c-0aec3788b17c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4&gt; 缺陷解决方案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_Toc8260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75739"/>
              <w:placeholder>
                <w:docPart w:val="{641a6280-20df-4a7f-80e3-c3b08dc53f91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/>
                  <w:sz w:val="20"/>
                  <w:szCs w:val="20"/>
                  <w:lang w:val="en-US" w:eastAsia="zh-CN"/>
                </w:rPr>
                <w:t xml:space="preserve">    </w:t>
              </w:r>
              <w:r>
                <w:rPr>
                  <w:rFonts w:hint="eastAsia" w:ascii="微软雅黑" w:hAnsi="微软雅黑" w:eastAsia="微软雅黑" w:cs="微软雅黑"/>
                </w:rPr>
                <w:t>5&gt; 缺陷状态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 xml:space="preserve">  </w:t>
          </w:r>
          <w:r>
            <w:fldChar w:fldCharType="begin"/>
          </w:r>
          <w:r>
            <w:instrText xml:space="preserve"> HYPERLINK \l _Toc4336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75739"/>
              <w:placeholder>
                <w:docPart w:val="{8507f854-31bc-4246-a3cf-ec55fcf900fd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2. 缺陷管理流程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 xml:space="preserve">  </w:t>
          </w:r>
          <w:r>
            <w:fldChar w:fldCharType="begin"/>
          </w:r>
          <w:r>
            <w:instrText xml:space="preserve"> HYPERLINK \l _Toc10389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75739"/>
              <w:placeholder>
                <w:docPart w:val="{b074ae47-4321-44e9-8473-32df0b60000d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3. 遗留缺陷跟踪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 xml:space="preserve">    </w:t>
          </w:r>
          <w:r>
            <w:fldChar w:fldCharType="begin"/>
          </w:r>
          <w:r>
            <w:instrText xml:space="preserve"> HYPERLINK \l _Toc2203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75739"/>
              <w:placeholder>
                <w:docPart w:val="{5fb03d85-29da-40f7-bce5-c0b90393ed00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1&gt; 跟踪遗留缺陷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_Toc2004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75739"/>
              <w:placeholder>
                <w:docPart w:val="{db2f1b7b-dcb0-4a6d-8ef1-87ed6e655484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/>
                  <w:sz w:val="20"/>
                  <w:szCs w:val="20"/>
                  <w:lang w:val="en-US" w:eastAsia="zh-CN"/>
                </w:rPr>
                <w:t xml:space="preserve">    </w:t>
              </w:r>
              <w:r>
                <w:rPr>
                  <w:rFonts w:hint="eastAsia" w:ascii="微软雅黑" w:hAnsi="微软雅黑" w:eastAsia="微软雅黑" w:cs="微软雅黑"/>
                </w:rPr>
                <w:t>2&gt; 产品发布后发现的缺陷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</w:sdtContent>
    </w:sdt>
    <w:p>
      <w:pPr>
        <w:pStyle w:val="6"/>
        <w:tabs>
          <w:tab w:val="right" w:leader="dot" w:pos="8306"/>
        </w:tabs>
        <w:rPr>
          <w:sz w:val="20"/>
          <w:szCs w:val="20"/>
        </w:rPr>
      </w:pPr>
    </w:p>
    <w:p>
      <w:pPr>
        <w:pStyle w:val="6"/>
        <w:tabs>
          <w:tab w:val="right" w:leader="dot" w:pos="8306"/>
        </w:tabs>
        <w:rPr>
          <w:sz w:val="20"/>
          <w:szCs w:val="20"/>
        </w:rPr>
      </w:pPr>
    </w:p>
    <w:p>
      <w:pPr>
        <w:pStyle w:val="6"/>
        <w:tabs>
          <w:tab w:val="right" w:leader="dot" w:pos="8306"/>
        </w:tabs>
        <w:rPr>
          <w:sz w:val="20"/>
          <w:szCs w:val="20"/>
        </w:rPr>
      </w:pPr>
    </w:p>
    <w:p>
      <w:pPr>
        <w:pStyle w:val="6"/>
        <w:tabs>
          <w:tab w:val="right" w:leader="dot" w:pos="8306"/>
        </w:tabs>
        <w:rPr>
          <w:sz w:val="20"/>
          <w:szCs w:val="20"/>
        </w:rPr>
      </w:pPr>
    </w:p>
    <w:p>
      <w:pPr>
        <w:pStyle w:val="6"/>
        <w:tabs>
          <w:tab w:val="right" w:leader="dot" w:pos="8306"/>
        </w:tabs>
        <w:rPr>
          <w:sz w:val="20"/>
          <w:szCs w:val="20"/>
        </w:rPr>
      </w:pPr>
    </w:p>
    <w:p>
      <w:pPr>
        <w:pStyle w:val="6"/>
        <w:tabs>
          <w:tab w:val="right" w:leader="dot" w:pos="8306"/>
        </w:tabs>
        <w:rPr>
          <w:sz w:val="20"/>
          <w:szCs w:val="20"/>
        </w:rPr>
      </w:pPr>
    </w:p>
    <w:p>
      <w:pPr>
        <w:pStyle w:val="6"/>
        <w:tabs>
          <w:tab w:val="right" w:leader="dot" w:pos="8306"/>
        </w:tabs>
        <w:rPr>
          <w:sz w:val="20"/>
          <w:szCs w:val="20"/>
        </w:rPr>
      </w:pPr>
    </w:p>
    <w:p>
      <w:pPr>
        <w:pStyle w:val="6"/>
        <w:tabs>
          <w:tab w:val="right" w:leader="dot" w:pos="8306"/>
        </w:tabs>
        <w:rPr>
          <w:sz w:val="20"/>
          <w:szCs w:val="20"/>
        </w:rPr>
      </w:pPr>
    </w:p>
    <w:p>
      <w:pPr>
        <w:pStyle w:val="6"/>
        <w:tabs>
          <w:tab w:val="right" w:leader="dot" w:pos="8306"/>
        </w:tabs>
        <w:rPr>
          <w:sz w:val="20"/>
          <w:szCs w:val="20"/>
        </w:rPr>
      </w:pPr>
    </w:p>
    <w:p>
      <w:pPr>
        <w:pStyle w:val="6"/>
        <w:tabs>
          <w:tab w:val="right" w:leader="dot" w:pos="8306"/>
        </w:tabs>
        <w:rPr>
          <w:sz w:val="20"/>
          <w:szCs w:val="20"/>
        </w:rPr>
      </w:pPr>
    </w:p>
    <w:p>
      <w:pPr>
        <w:pStyle w:val="6"/>
        <w:tabs>
          <w:tab w:val="right" w:leader="dot" w:pos="8306"/>
        </w:tabs>
        <w:rPr>
          <w:sz w:val="20"/>
          <w:szCs w:val="20"/>
        </w:rPr>
      </w:pPr>
    </w:p>
    <w:p>
      <w:pPr>
        <w:pStyle w:val="6"/>
        <w:tabs>
          <w:tab w:val="right" w:leader="dot" w:pos="8306"/>
        </w:tabs>
        <w:rPr>
          <w:sz w:val="20"/>
          <w:szCs w:val="20"/>
        </w:rPr>
      </w:pPr>
    </w:p>
    <w:p>
      <w:pPr>
        <w:pStyle w:val="6"/>
        <w:tabs>
          <w:tab w:val="right" w:leader="dot" w:pos="8306"/>
        </w:tabs>
        <w:rPr>
          <w:sz w:val="20"/>
          <w:szCs w:val="20"/>
        </w:rPr>
      </w:pPr>
    </w:p>
    <w:p>
      <w:pPr>
        <w:pStyle w:val="6"/>
        <w:tabs>
          <w:tab w:val="right" w:leader="dot" w:pos="8306"/>
        </w:tabs>
        <w:rPr>
          <w:sz w:val="20"/>
          <w:szCs w:val="20"/>
        </w:rPr>
      </w:pPr>
    </w:p>
    <w:p>
      <w:pPr>
        <w:pStyle w:val="6"/>
        <w:tabs>
          <w:tab w:val="right" w:leader="dot" w:pos="8306"/>
        </w:tabs>
        <w:ind w:left="0" w:leftChars="0" w:firstLine="0" w:firstLineChars="0"/>
        <w:rPr>
          <w:rFonts w:hint="eastAsia"/>
          <w:sz w:val="20"/>
          <w:szCs w:val="20"/>
          <w:lang w:val="en-US" w:eastAsia="zh-CN"/>
        </w:rPr>
      </w:pPr>
    </w:p>
    <w:p>
      <w:pPr>
        <w:numPr>
          <w:ilvl w:val="0"/>
          <w:numId w:val="1"/>
        </w:numPr>
        <w:jc w:val="both"/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  <w:vertAlign w:val="baseline"/>
          <w:lang w:val="en-US" w:eastAsia="zh-CN"/>
        </w:rPr>
      </w:pPr>
      <w:bookmarkStart w:id="0" w:name="_Toc6409"/>
      <w:bookmarkStart w:id="1" w:name="_Toc8051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角色与职责</w:t>
      </w:r>
      <w:bookmarkEnd w:id="0"/>
      <w:bookmarkEnd w:id="1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1"/>
        <w:gridCol w:w="6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角色</w:t>
            </w:r>
          </w:p>
        </w:tc>
        <w:tc>
          <w:tcPr>
            <w:tcW w:w="6591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65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评审缺陷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测试部经理</w:t>
            </w:r>
          </w:p>
        </w:tc>
        <w:tc>
          <w:tcPr>
            <w:tcW w:w="65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提交、验证、评审缺陷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测试工程师</w:t>
            </w:r>
          </w:p>
        </w:tc>
        <w:tc>
          <w:tcPr>
            <w:tcW w:w="65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提交、验证缺陷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研发组组长</w:t>
            </w:r>
          </w:p>
        </w:tc>
        <w:tc>
          <w:tcPr>
            <w:tcW w:w="65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修改、评审缺陷’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9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研发组成员</w:t>
            </w:r>
          </w:p>
        </w:tc>
        <w:tc>
          <w:tcPr>
            <w:tcW w:w="65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修改缺陷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研发部经理</w:t>
            </w:r>
          </w:p>
        </w:tc>
        <w:tc>
          <w:tcPr>
            <w:tcW w:w="65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查看、评审缺陷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2" w:name="_Toc24187"/>
      <w:bookmarkStart w:id="3" w:name="_Toc4723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缺陷管理工具</w:t>
      </w:r>
      <w:bookmarkEnd w:id="2"/>
      <w:bookmarkEnd w:id="3"/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771650" cy="259969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4" w:name="_Toc9142"/>
      <w:bookmarkStart w:id="5" w:name="_Toc30046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主要步骤</w:t>
      </w:r>
      <w:bookmarkEnd w:id="4"/>
      <w:bookmarkEnd w:id="5"/>
    </w:p>
    <w:p>
      <w:pPr>
        <w:numPr>
          <w:ilvl w:val="0"/>
          <w:numId w:val="2"/>
        </w:numPr>
        <w:ind w:left="420" w:leftChars="0"/>
        <w:jc w:val="both"/>
        <w:outlineLvl w:val="1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6" w:name="_Toc20937"/>
      <w:bookmarkStart w:id="7" w:name="_Toc1643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定义缺陷</w:t>
      </w:r>
      <w:bookmarkEnd w:id="6"/>
      <w:bookmarkEnd w:id="7"/>
    </w:p>
    <w:p>
      <w:pPr>
        <w:numPr>
          <w:ilvl w:val="0"/>
          <w:numId w:val="3"/>
        </w:numPr>
        <w:ind w:left="840" w:leftChars="0"/>
        <w:jc w:val="both"/>
        <w:outlineLvl w:val="2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8" w:name="_Toc13108"/>
      <w:bookmarkStart w:id="9" w:name="_Toc29007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缺陷类型</w:t>
      </w:r>
      <w:bookmarkEnd w:id="8"/>
      <w:bookmarkEnd w:id="9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3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lang w:val="en-US" w:eastAsia="zh-CN"/>
              </w:rPr>
              <w:t>缺陷类型</w:t>
            </w:r>
          </w:p>
        </w:tc>
        <w:tc>
          <w:tcPr>
            <w:tcW w:w="6379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代码错误</w:t>
            </w:r>
          </w:p>
        </w:tc>
        <w:tc>
          <w:tcPr>
            <w:tcW w:w="6379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一般指由于编码错误出现的功能问题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数据错误</w:t>
            </w:r>
          </w:p>
        </w:tc>
        <w:tc>
          <w:tcPr>
            <w:tcW w:w="6379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一般指数据原因（垃圾数据）出现的非功能性问题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界面优化</w:t>
            </w:r>
          </w:p>
        </w:tc>
        <w:tc>
          <w:tcPr>
            <w:tcW w:w="6379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指界面设计不合理的缺陷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设计缺陷</w:t>
            </w:r>
          </w:p>
        </w:tc>
        <w:tc>
          <w:tcPr>
            <w:tcW w:w="6379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设计不合理的缺陷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配置相关</w:t>
            </w:r>
          </w:p>
        </w:tc>
        <w:tc>
          <w:tcPr>
            <w:tcW w:w="6379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指配置文件配置数据不合理，需要根据实际情况进行调整的缺陷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安装部署</w:t>
            </w:r>
          </w:p>
        </w:tc>
        <w:tc>
          <w:tcPr>
            <w:tcW w:w="6379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一般指环境部署错误，出现的异常缺陷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安全相关</w:t>
            </w:r>
          </w:p>
        </w:tc>
        <w:tc>
          <w:tcPr>
            <w:tcW w:w="6379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指有安全隐患的缺陷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性能问题</w:t>
            </w:r>
          </w:p>
        </w:tc>
        <w:tc>
          <w:tcPr>
            <w:tcW w:w="6379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指性能测试时发现的系统性能缺陷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标准规范</w:t>
            </w:r>
          </w:p>
        </w:tc>
        <w:tc>
          <w:tcPr>
            <w:tcW w:w="6379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一般指测试场景中运用到行业规范文字、模板类缺陷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测试脚本</w:t>
            </w:r>
          </w:p>
        </w:tc>
        <w:tc>
          <w:tcPr>
            <w:tcW w:w="6379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一般指测试特殊场景时用到的自主研发的测试脚本，出现的缺陷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其他</w:t>
            </w:r>
          </w:p>
        </w:tc>
        <w:tc>
          <w:tcPr>
            <w:tcW w:w="6379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除了以上原因以外的特殊情况</w:t>
            </w:r>
          </w:p>
        </w:tc>
      </w:tr>
    </w:tbl>
    <w:p>
      <w:pPr>
        <w:numPr>
          <w:ilvl w:val="0"/>
          <w:numId w:val="0"/>
        </w:numPr>
        <w:jc w:val="both"/>
        <w:outlineLvl w:val="2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2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2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2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3"/>
        </w:numPr>
        <w:ind w:left="840" w:leftChars="0"/>
        <w:jc w:val="both"/>
        <w:outlineLvl w:val="2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10" w:name="_Toc14604"/>
      <w:bookmarkStart w:id="11" w:name="_Toc22621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缺陷严重程度</w:t>
      </w:r>
      <w:bookmarkEnd w:id="10"/>
      <w:bookmarkEnd w:id="11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6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缺陷严重程度</w:t>
            </w:r>
          </w:p>
        </w:tc>
        <w:tc>
          <w:tcPr>
            <w:tcW w:w="6366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致命</w:t>
            </w:r>
          </w:p>
        </w:tc>
        <w:tc>
          <w:tcPr>
            <w:tcW w:w="6366" w:type="dxa"/>
          </w:tcPr>
          <w:p>
            <w:pPr>
              <w:pStyle w:val="8"/>
              <w:numPr>
                <w:ilvl w:val="0"/>
                <w:numId w:val="4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由于程序引起的死机，无法退出</w:t>
            </w:r>
          </w:p>
          <w:p>
            <w:pPr>
              <w:pStyle w:val="8"/>
              <w:numPr>
                <w:ilvl w:val="0"/>
                <w:numId w:val="4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死循环</w:t>
            </w:r>
          </w:p>
          <w:p>
            <w:pPr>
              <w:pStyle w:val="8"/>
              <w:numPr>
                <w:ilvl w:val="0"/>
                <w:numId w:val="4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严重的数值计算错误</w:t>
            </w:r>
          </w:p>
          <w:p>
            <w:pPr>
              <w:pStyle w:val="8"/>
              <w:numPr>
                <w:ilvl w:val="0"/>
                <w:numId w:val="4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需求未实现</w:t>
            </w:r>
          </w:p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软件与文档不符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严重</w:t>
            </w:r>
          </w:p>
        </w:tc>
        <w:tc>
          <w:tcPr>
            <w:tcW w:w="6366" w:type="dxa"/>
          </w:tcPr>
          <w:p>
            <w:pPr>
              <w:pStyle w:val="8"/>
              <w:numPr>
                <w:ilvl w:val="0"/>
                <w:numId w:val="5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程序接口错误</w:t>
            </w:r>
          </w:p>
          <w:p>
            <w:pPr>
              <w:pStyle w:val="8"/>
              <w:numPr>
                <w:ilvl w:val="0"/>
                <w:numId w:val="5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轻微的数值计算错误</w:t>
            </w:r>
          </w:p>
          <w:p>
            <w:pPr>
              <w:pStyle w:val="8"/>
              <w:numPr>
                <w:ilvl w:val="0"/>
                <w:numId w:val="5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程序非正常终止，但是可以通过其他路径挽回</w:t>
            </w:r>
          </w:p>
          <w:p>
            <w:pPr>
              <w:pStyle w:val="8"/>
              <w:numPr>
                <w:ilvl w:val="0"/>
                <w:numId w:val="5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系统边界错误</w:t>
            </w:r>
          </w:p>
          <w:p>
            <w:pPr>
              <w:pStyle w:val="8"/>
              <w:numPr>
                <w:ilvl w:val="0"/>
                <w:numId w:val="5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显示报表错误</w:t>
            </w:r>
          </w:p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数据处理、需求理解错误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一般</w:t>
            </w:r>
          </w:p>
        </w:tc>
        <w:tc>
          <w:tcPr>
            <w:tcW w:w="6366" w:type="dxa"/>
          </w:tcPr>
          <w:p>
            <w:pPr>
              <w:pStyle w:val="8"/>
              <w:numPr>
                <w:ilvl w:val="0"/>
                <w:numId w:val="6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界面错误</w:t>
            </w:r>
          </w:p>
          <w:p>
            <w:pPr>
              <w:pStyle w:val="8"/>
              <w:numPr>
                <w:ilvl w:val="0"/>
                <w:numId w:val="6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打印内容、格式错误</w:t>
            </w:r>
          </w:p>
          <w:p>
            <w:pPr>
              <w:pStyle w:val="8"/>
              <w:numPr>
                <w:ilvl w:val="0"/>
                <w:numId w:val="6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删除等操作没有提示</w:t>
            </w:r>
          </w:p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输入限制前端没有做限制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建议</w:t>
            </w:r>
          </w:p>
        </w:tc>
        <w:tc>
          <w:tcPr>
            <w:tcW w:w="6366" w:type="dxa"/>
          </w:tcPr>
          <w:p>
            <w:pPr>
              <w:pStyle w:val="8"/>
              <w:numPr>
                <w:ilvl w:val="0"/>
                <w:numId w:val="7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辅助说明描述不清楚</w:t>
            </w:r>
          </w:p>
          <w:p>
            <w:pPr>
              <w:pStyle w:val="8"/>
              <w:numPr>
                <w:ilvl w:val="0"/>
                <w:numId w:val="7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显示格式不规范</w:t>
            </w:r>
          </w:p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易用性</w:t>
            </w:r>
          </w:p>
        </w:tc>
      </w:tr>
    </w:tbl>
    <w:p>
      <w:pPr>
        <w:numPr>
          <w:ilvl w:val="0"/>
          <w:numId w:val="0"/>
        </w:numPr>
        <w:jc w:val="both"/>
        <w:outlineLvl w:val="2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2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3"/>
        </w:numPr>
        <w:ind w:left="840" w:leftChars="0"/>
        <w:jc w:val="both"/>
        <w:outlineLvl w:val="2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12" w:name="_Toc17477"/>
      <w:bookmarkStart w:id="13" w:name="_Toc17492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缺陷优先级</w:t>
      </w:r>
      <w:bookmarkEnd w:id="12"/>
      <w:bookmarkEnd w:id="13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8"/>
        <w:gridCol w:w="6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lang w:val="en-US" w:eastAsia="zh-CN"/>
              </w:rPr>
              <w:t>缺陷优先级</w:t>
            </w:r>
          </w:p>
        </w:tc>
        <w:tc>
          <w:tcPr>
            <w:tcW w:w="6354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6354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立即解决，缺陷必须立即解决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6354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高优先级，在立即解决之后，需要解决的，不用排队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6354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正常排队，缺陷需要正常排队等待修复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6354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低优先级，缺陷可以在方便时被修正</w:t>
            </w:r>
          </w:p>
        </w:tc>
      </w:tr>
    </w:tbl>
    <w:p>
      <w:pPr>
        <w:numPr>
          <w:ilvl w:val="0"/>
          <w:numId w:val="0"/>
        </w:numPr>
        <w:jc w:val="both"/>
        <w:outlineLvl w:val="2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2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840" w:leftChars="0"/>
        <w:jc w:val="both"/>
        <w:outlineLvl w:val="2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14" w:name="_Toc18494"/>
      <w:bookmarkStart w:id="15" w:name="_Toc1803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缺陷</w:t>
      </w:r>
      <w:bookmarkEnd w:id="14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解决方案</w:t>
      </w:r>
      <w:bookmarkEnd w:id="15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8"/>
        <w:gridCol w:w="6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缺陷解决方案</w:t>
            </w:r>
          </w:p>
        </w:tc>
        <w:tc>
          <w:tcPr>
            <w:tcW w:w="6354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已解决</w:t>
            </w:r>
          </w:p>
        </w:tc>
        <w:tc>
          <w:tcPr>
            <w:tcW w:w="6354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此缺陷已经按照缺陷描述的期望结果被修复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设计如此</w:t>
            </w:r>
          </w:p>
        </w:tc>
        <w:tc>
          <w:tcPr>
            <w:tcW w:w="6354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此缺陷不进行修复，设计如此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重复bug</w:t>
            </w:r>
          </w:p>
        </w:tc>
        <w:tc>
          <w:tcPr>
            <w:tcW w:w="6354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此缺陷重复提交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外部原因</w:t>
            </w:r>
          </w:p>
        </w:tc>
        <w:tc>
          <w:tcPr>
            <w:tcW w:w="6354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此缺陷非系统问题，是由于外部原因造成，无法修复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无法重现</w:t>
            </w:r>
          </w:p>
        </w:tc>
        <w:tc>
          <w:tcPr>
            <w:tcW w:w="6354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此缺陷研发人员无法复现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延期处理</w:t>
            </w:r>
          </w:p>
        </w:tc>
        <w:tc>
          <w:tcPr>
            <w:tcW w:w="6354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此缺陷此版本不进行修复，下个版本修复（需标明版本号）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不予解决</w:t>
            </w:r>
          </w:p>
        </w:tc>
        <w:tc>
          <w:tcPr>
            <w:tcW w:w="6354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判定为不是缺陷，属于操作不当等原因造成，不进行修改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转为需求</w:t>
            </w:r>
          </w:p>
        </w:tc>
        <w:tc>
          <w:tcPr>
            <w:tcW w:w="6354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此缺陷涉及到需求变更，需要转为需求后进行讨论</w:t>
            </w:r>
          </w:p>
        </w:tc>
      </w:tr>
    </w:tbl>
    <w:p>
      <w:pPr>
        <w:numPr>
          <w:ilvl w:val="0"/>
          <w:numId w:val="0"/>
        </w:numPr>
        <w:jc w:val="both"/>
        <w:outlineLvl w:val="2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3"/>
        </w:numPr>
        <w:ind w:left="840" w:leftChars="0"/>
        <w:jc w:val="both"/>
        <w:outlineLvl w:val="2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16" w:name="_Toc8260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缺陷状态</w:t>
      </w:r>
      <w:bookmarkEnd w:id="16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8"/>
        <w:gridCol w:w="6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缺陷状态</w:t>
            </w:r>
          </w:p>
        </w:tc>
        <w:tc>
          <w:tcPr>
            <w:tcW w:w="6354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激活</w:t>
            </w:r>
          </w:p>
        </w:tc>
        <w:tc>
          <w:tcPr>
            <w:tcW w:w="6354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测试人员提交了缺陷，等待修复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已解决</w:t>
            </w:r>
          </w:p>
        </w:tc>
        <w:tc>
          <w:tcPr>
            <w:tcW w:w="6354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此缺陷已经按照缺陷描述的期望结果被修复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已关闭</w:t>
            </w:r>
          </w:p>
        </w:tc>
        <w:tc>
          <w:tcPr>
            <w:tcW w:w="6354" w:type="dxa"/>
          </w:tcPr>
          <w:p>
            <w:pPr>
              <w:numPr>
                <w:ilvl w:val="0"/>
                <w:numId w:val="0"/>
              </w:numPr>
              <w:jc w:val="both"/>
              <w:outlineLvl w:val="2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测试人员缺陷验证通过后，关闭缺陷</w:t>
            </w:r>
          </w:p>
        </w:tc>
      </w:tr>
    </w:tbl>
    <w:p>
      <w:pPr>
        <w:numPr>
          <w:ilvl w:val="0"/>
          <w:numId w:val="0"/>
        </w:numPr>
        <w:jc w:val="both"/>
        <w:outlineLvl w:val="2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2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42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17" w:name="_Toc4336"/>
      <w:bookmarkStart w:id="18" w:name="_Toc9365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缺陷管理流程</w:t>
      </w:r>
      <w:bookmarkEnd w:id="17"/>
      <w:bookmarkEnd w:id="18"/>
    </w:p>
    <w:p>
      <w:pPr>
        <w:numPr>
          <w:ilvl w:val="0"/>
          <w:numId w:val="0"/>
        </w:numPr>
        <w:ind w:left="420" w:leftChars="0"/>
        <w:jc w:val="both"/>
        <w:outlineLvl w:val="1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6690" cy="291465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1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42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19" w:name="_Toc10389"/>
      <w:bookmarkStart w:id="20" w:name="_Toc2873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遗留缺陷跟踪</w:t>
      </w:r>
      <w:bookmarkEnd w:id="19"/>
      <w:bookmarkEnd w:id="20"/>
      <w:bookmarkStart w:id="23" w:name="_GoBack"/>
      <w:bookmarkEnd w:id="23"/>
    </w:p>
    <w:p>
      <w:pPr>
        <w:numPr>
          <w:ilvl w:val="0"/>
          <w:numId w:val="8"/>
        </w:numPr>
        <w:ind w:left="840" w:leftChars="0"/>
        <w:jc w:val="both"/>
        <w:outlineLvl w:val="2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21" w:name="_Toc2203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跟踪遗留缺陷</w:t>
      </w:r>
      <w:bookmarkEnd w:id="21"/>
    </w:p>
    <w:p>
      <w:pPr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对于让步发布的产品，需要跟踪产品发布后的运行情况。对遗留的缺陷跟踪记录并分析其影响范</w:t>
      </w:r>
    </w:p>
    <w:p>
      <w:pPr>
        <w:numPr>
          <w:ilvl w:val="0"/>
          <w:numId w:val="0"/>
        </w:numPr>
        <w:ind w:firstLine="720" w:firstLineChars="400"/>
        <w:jc w:val="both"/>
        <w:outlineLvl w:val="1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围，直到遗留缺陷形成解决结果</w:t>
      </w:r>
    </w:p>
    <w:p>
      <w:pPr>
        <w:numPr>
          <w:ilvl w:val="0"/>
          <w:numId w:val="8"/>
        </w:numPr>
        <w:ind w:left="840" w:leftChars="0"/>
        <w:jc w:val="both"/>
        <w:outlineLvl w:val="2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22" w:name="_Toc2004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产品发布后发现的缺陷</w:t>
      </w:r>
      <w:bookmarkEnd w:id="22"/>
    </w:p>
    <w:p>
      <w:pPr>
        <w:numPr>
          <w:ilvl w:val="0"/>
          <w:numId w:val="0"/>
        </w:numPr>
        <w:ind w:left="840" w:hanging="840" w:hangingChars="400"/>
        <w:jc w:val="both"/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产品发布后的缺陷来源有：客户服务部客户服务人员、运维部项目实施工程师、客户、开发和测试人员。该类缺陷发现后需提交给项目组，纳入缺陷管理，该类缺陷标识为“发布后”，便于分析原因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annotate SC Regular">
    <w:altName w:val="Arial Unicode MS"/>
    <w:panose1 w:val="03000500000000000000"/>
    <w:charset w:val="50"/>
    <w:family w:val="auto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38D350"/>
    <w:multiLevelType w:val="singleLevel"/>
    <w:tmpl w:val="A638D350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B7F1AEA4"/>
    <w:multiLevelType w:val="singleLevel"/>
    <w:tmpl w:val="B7F1AEA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C6B7764"/>
    <w:multiLevelType w:val="multilevel"/>
    <w:tmpl w:val="1C6B776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2E00ED"/>
    <w:multiLevelType w:val="singleLevel"/>
    <w:tmpl w:val="3E2E00ED"/>
    <w:lvl w:ilvl="0" w:tentative="0">
      <w:start w:val="1"/>
      <w:numFmt w:val="decimal"/>
      <w:suff w:val="nothing"/>
      <w:lvlText w:val="%1&gt;"/>
      <w:lvlJc w:val="left"/>
    </w:lvl>
  </w:abstractNum>
  <w:abstractNum w:abstractNumId="4">
    <w:nsid w:val="4D308C5E"/>
    <w:multiLevelType w:val="multilevel"/>
    <w:tmpl w:val="4D308C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AB4549"/>
    <w:multiLevelType w:val="multilevel"/>
    <w:tmpl w:val="59AB454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8D86891"/>
    <w:multiLevelType w:val="multilevel"/>
    <w:tmpl w:val="68D8689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D120161"/>
    <w:multiLevelType w:val="multilevel"/>
    <w:tmpl w:val="7D12016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150520"/>
    <w:rsid w:val="295B084B"/>
    <w:rsid w:val="5480717B"/>
    <w:rsid w:val="57646F37"/>
    <w:rsid w:val="770C05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6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7">
    <w:name w:val="WPSOffice手动目录 3"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0a1d101-479d-4919-8282-be113a5e1c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a1d101-479d-4919-8282-be113a5e1cb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5b37e9-d3eb-4e52-b545-b55ed58534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5b37e9-d3eb-4e52-b545-b55ed58534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e79bad-0c5f-4823-adc5-ae86f1d2b3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e79bad-0c5f-4823-adc5-ae86f1d2b3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fa32cf-71a1-476f-9529-31eafbc163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fa32cf-71a1-476f-9529-31eafbc163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3ba6b9e-df50-4792-88d8-88412be95db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ba6b9e-df50-4792-88d8-88412be95db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a80bbb5-c0d0-4be4-a000-a67500fd9d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80bbb5-c0d0-4be4-a000-a67500fd9d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023420-642e-496e-a216-dcf5f9893e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023420-642e-496e-a216-dcf5f9893e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af3e51-bd0e-42f4-9a6c-0aec3788b1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af3e51-bd0e-42f4-9a6c-0aec3788b1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1a6280-20df-4a7f-80e3-c3b08dc53f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1a6280-20df-4a7f-80e3-c3b08dc53f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07f854-31bc-4246-a3cf-ec55fcf900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07f854-31bc-4246-a3cf-ec55fcf900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74ae47-4321-44e9-8473-32df0b6000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74ae47-4321-44e9-8473-32df0b6000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b03d85-29da-40f7-bce5-c0b90393ed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b03d85-29da-40f7-bce5-c0b90393ed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2f1b7b-dcb0-4a6d-8ef1-87ed6e6554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2f1b7b-dcb0-4a6d-8ef1-87ed6e6554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Adminstrator</dc:creator>
  <cp:lastModifiedBy>Adminstrator</cp:lastModifiedBy>
  <dcterms:modified xsi:type="dcterms:W3CDTF">2018-02-07T08:55:19Z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