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color w:val="0B2545"/>
          <w:sz w:val="40"/>
        </w:rPr>
        <w:t>攻击类联邦遗忘论文独立复现实验分析报告</w:t>
      </w:r>
    </w:p>
    <w:p>
      <w:pPr>
        <w:spacing w:after="280"/>
        <w:jc w:val="center"/>
      </w:pPr>
      <w:r>
        <w:rPr>
          <w:rFonts w:ascii="Calibri" w:hAnsi="Calibri" w:eastAsia="Microsoft YaHei"/>
          <w:color w:val="555555"/>
          <w:sz w:val="21"/>
        </w:rPr>
        <w:t>基于 outputs/attack_reproduction 最新四次独立运行结果，生成日期：2026-05-25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9DA"/>
          <w:left w:val="single" w:sz="4" w:space="0" w:color="B7C9DA"/>
          <w:bottom w:val="single" w:sz="4" w:space="0" w:color="B7C9DA"/>
          <w:right w:val="single" w:sz="4" w:space="0" w:color="B7C9DA"/>
          <w:insideH w:val="single" w:sz="4" w:space="0" w:color="B7C9DA"/>
          <w:insideV w:val="single" w:sz="4" w:space="0" w:color="B7C9DA"/>
        </w:tblBorders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/>
            <w:r>
              <w:rPr>
                <w:rFonts w:ascii="Calibri" w:hAnsi="Calibri" w:eastAsia="Microsoft YaHei"/>
                <w:b/>
                <w:color w:val="0B2545"/>
                <w:sz w:val="22"/>
              </w:rPr>
              <w:t>总体结论：</w:t>
            </w:r>
            <w:r>
              <w:rPr>
                <w:rFonts w:ascii="Calibri" w:hAnsi="Calibri" w:eastAsia="Microsoft YaHei"/>
                <w:sz w:val="21"/>
              </w:rPr>
              <w:t>本次四个 attack reproduction 均可判定为成功复现。GAT-LA 达到高保真梯度重建，FUIA 在 sample/client/class 三个层级均显示有效隐私泄露，ULIA 在 270 次 label inference trial 中全部命中，Camouflaged Poisoning 同时满足训练期隐蔽、删除后激活和 no-poison control 不触发三项关键条件。</w:t>
            </w:r>
          </w:p>
        </w:tc>
      </w:tr>
    </w:tbl>
    <w:p/>
    <w:p>
      <w:pPr>
        <w:pStyle w:val="Heading1"/>
      </w:pPr>
      <w:r>
        <w:t>1. 分析范围、数据来源与判定标准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1"/>
        </w:rPr>
        <w:t>本报告仅分析四篇攻击类联邦遗忘论文的独立复现实验，不纳入此前七个 defense/unlearning 方法，也不纳入统一综合实验。所有数值均来自 outputs/attack_reproduction 下四个方法目录中的最新 result.json；ULIA 同时引用 summary.csv/result.json 中的逐组合统计；GAT-LA 和 FUIA 还结合最新运行目录中的重建图像与张量输出进行定性核验。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1"/>
        </w:rPr>
        <w:t>判定标准采用攻击复现实验的四个基本要求：第一，基础模型必须有合理效用，不能依赖未训练或失效模型；第二，攻击指标必须直接对应论文目标；第三，结果需要有可追溯输出文件支持；第四，对于 camouflaged poisoning 这类因果攻击，必须通过控制实验，即没有 poison 时不能被同样激活。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sz w:val="18"/>
              </w:rPr>
              <w:t>方法</w:t>
            </w:r>
          </w:p>
        </w:tc>
        <w:tc>
          <w:tcPr>
            <w:tcW w:type="dxa" w:w="1007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sz w:val="18"/>
              </w:rPr>
              <w:t>判定</w:t>
            </w:r>
          </w:p>
        </w:tc>
        <w:tc>
          <w:tcPr>
            <w:tcW w:type="dxa" w:w="3960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sz w:val="18"/>
              </w:rPr>
              <w:t>核心指标</w:t>
            </w:r>
          </w:p>
        </w:tc>
        <w:tc>
          <w:tcPr>
            <w:tcW w:type="dxa" w:w="244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sz w:val="18"/>
              </w:rPr>
              <w:t>复现解释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GAT-LA Reconstruction</w:t>
            </w:r>
          </w:p>
        </w:tc>
        <w:tc>
          <w:tcPr>
            <w:tcW w:type="dxa" w:w="1007"/>
            <w:vAlign w:val="center"/>
            <w:shd w:fill="D9EAD3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成功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MSE=0.000120; PSNR=39.200 dB; SSIM=0.998673; label correct=1.0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重建图像与目标高度一致，标签推断正确。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FUIA Model Inversion</w:t>
            </w:r>
          </w:p>
        </w:tc>
        <w:tc>
          <w:tcPr>
            <w:tcW w:type="dxa" w:w="1007"/>
            <w:vAlign w:val="center"/>
            <w:shd w:fill="D9EAD3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成功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sample PSNR=25.047 dB; client PSNR=22.928 dB; class acc=100.000%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sample/client 级重建清晰，class-level 推断完全正确。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ULIA Label Inference</w:t>
            </w:r>
          </w:p>
        </w:tc>
        <w:tc>
          <w:tcPr>
            <w:tcW w:type="dxa" w:w="1007"/>
            <w:vAlign w:val="center"/>
            <w:shd w:fill="D9EAD3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成功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overall mean ASR-IoU=1.000; 9 组 method-scenario 均为 mean=1.000, std=0.000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三种 unlearning 方法与三种场景下均稳定命中遗忘标签集合。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Camouflaged Poisoning</w:t>
            </w:r>
          </w:p>
        </w:tc>
        <w:tc>
          <w:tcPr>
            <w:tcW w:type="dxa" w:w="1007"/>
            <w:vAlign w:val="center"/>
            <w:shd w:fill="D9EAD3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成功</w:t>
            </w:r>
          </w:p>
        </w:tc>
        <w:tc>
          <w:tcPr>
            <w:tcW w:type="dxa" w:w="396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before ASR=0.000%; after ASR=100.000%; control after ASR=0.000%</w:t>
            </w:r>
          </w:p>
        </w:tc>
        <w:tc>
          <w:tcPr>
            <w:tcW w:type="dxa" w:w="24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训练期不暴露，删除 camouflage 后激活；no-poison control 不触发。</w:t>
            </w:r>
          </w:p>
        </w:tc>
      </w:tr>
    </w:tbl>
    <w:p/>
    <w:p>
      <w:pPr>
        <w:pStyle w:val="Heading1"/>
      </w:pPr>
      <w:r>
        <w:t>2. 实验设置总览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655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sz w:val="18"/>
              </w:rPr>
              <w:t>方法</w:t>
            </w:r>
          </w:p>
        </w:tc>
        <w:tc>
          <w:tcPr>
            <w:tcW w:type="dxa" w:w="1512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sz w:val="18"/>
              </w:rPr>
              <w:t>数据集 train/test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sz w:val="18"/>
              </w:rPr>
              <w:t>联邦划分</w:t>
            </w:r>
          </w:p>
        </w:tc>
        <w:tc>
          <w:tcPr>
            <w:tcW w:type="dxa" w:w="1007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sz w:val="18"/>
              </w:rPr>
              <w:t>模型</w:t>
            </w:r>
          </w:p>
        </w:tc>
        <w:tc>
          <w:tcPr>
            <w:tcW w:type="dxa" w:w="3240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sz w:val="18"/>
              </w:rPr>
              <w:t>关键参数</w:t>
            </w:r>
          </w:p>
        </w:tc>
        <w:tc>
          <w:tcPr>
            <w:tcW w:type="dxa" w:w="1800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sz w:val="18"/>
              </w:rPr>
              <w:t>最新运行目录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GAT-LA Reconstruction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mnist (5000/1000)</w:t>
            </w:r>
          </w:p>
        </w:tc>
        <w:tc>
          <w:tcPr>
            <w:tcW w:type="dxa" w:w="15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 clients; iid; alpha=0.5</w:t>
            </w:r>
          </w:p>
        </w:tc>
        <w:tc>
          <w:tcPr>
            <w:tcW w:type="dxa" w:w="100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mlp</w:t>
            </w:r>
          </w:p>
        </w:tc>
        <w:tc>
          <w:tcPr>
            <w:tcW w:type="dxa" w:w="32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pretrain=5; inversion_steps=900; restarts=3; tv=1e-05; magnitude=0.01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run-20260525-201041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FUIA Model Inversion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mnist (6000/1000)</w:t>
            </w:r>
          </w:p>
        </w:tc>
        <w:tc>
          <w:tcPr>
            <w:tcW w:type="dxa" w:w="15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 clients; iid; alpha=0.5</w:t>
            </w:r>
          </w:p>
        </w:tc>
        <w:tc>
          <w:tcPr>
            <w:tcW w:type="dxa" w:w="100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smallcnn</w:t>
            </w:r>
          </w:p>
        </w:tc>
        <w:tc>
          <w:tcPr>
            <w:tcW w:type="dxa" w:w="32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classes=[0, 1]; pretrain=20; unlearn=3; inversion_steps=1500; restarts=5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run-20260525-201518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ULIA Label Inference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mnist (8000/1000)</w:t>
            </w:r>
          </w:p>
        </w:tc>
        <w:tc>
          <w:tcPr>
            <w:tcW w:type="dxa" w:w="15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 clients; iid; alpha=0.5</w:t>
            </w:r>
          </w:p>
        </w:tc>
        <w:tc>
          <w:tcPr>
            <w:tcW w:type="dxa" w:w="100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smallcnn</w:t>
            </w:r>
          </w:p>
        </w:tc>
        <w:tc>
          <w:tcPr>
            <w:tcW w:type="dxa" w:w="32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trials=30; methods=federaser,rapid_retrain,sga_ewc; scenarios=sample,class,client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run-20260525-201836</w:t>
            </w:r>
          </w:p>
        </w:tc>
      </w:tr>
      <w:tr>
        <w:tc>
          <w:tcPr>
            <w:tcW w:type="dxa" w:w="165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Camouflaged Poisoning</w:t>
            </w:r>
          </w:p>
        </w:tc>
        <w:tc>
          <w:tcPr>
            <w:tcW w:type="dxa" w:w="151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mnist (12000/2000)</w:t>
            </w:r>
          </w:p>
        </w:tc>
        <w:tc>
          <w:tcPr>
            <w:tcW w:type="dxa" w:w="15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 clients; iid; alpha=0.5</w:t>
            </w:r>
          </w:p>
        </w:tc>
        <w:tc>
          <w:tcPr>
            <w:tcW w:type="dxa" w:w="100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smallcnn</w:t>
            </w:r>
          </w:p>
        </w:tc>
        <w:tc>
          <w:tcPr>
            <w:tcW w:type="dxa" w:w="32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target 1-&gt;0; targets=1; P/C=96/96; repeats=25/80; protocol=exact_retrain_without_camouflage</w:t>
            </w:r>
          </w:p>
        </w:tc>
        <w:tc>
          <w:tcPr>
            <w:tcW w:type="dxa" w:w="180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run-20260525-202136</w:t>
            </w:r>
          </w:p>
        </w:tc>
      </w:tr>
    </w:tbl>
    <w:p/>
    <w:p>
      <w:pPr>
        <w:spacing w:after="80"/>
      </w:pPr>
      <w:r>
        <w:rPr>
          <w:rFonts w:ascii="Calibri" w:hAnsi="Calibri" w:eastAsia="Microsoft YaHei"/>
          <w:color w:val="555555"/>
          <w:sz w:val="18"/>
        </w:rPr>
        <w:t>注：Camouflaged Poisoning 使用 exact_retrain_without_camouflage 表示删除 camouflage 后，以同一 clean reference 重新训练不含 camouflage 的数据配置，用于严格对应“删除数据后模型应等价于未含该数据训练”的 unlearning 定义。</w:t>
      </w:r>
    </w:p>
    <w:p>
      <w:pPr>
        <w:pStyle w:val="Heading1"/>
      </w:pPr>
      <w:r>
        <w:t>3. GAT-LA Reconstruction 复现实验分析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1"/>
        </w:rPr>
        <w:t>GAT-LA 的攻击目标是从联邦遗忘过程中暴露的梯度/更新信息中恢复被遗忘样本，并推断其标签。当前实验使用 MNIST、10 个 IID 客户端、MLP 模型，基础模型 clean accuracy 为 92.800%。该精度说明被攻击模型已经具备正常分类能力，重建结果并非来自未训练模型或无效模型。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sz w:val="18"/>
              </w:rPr>
              <w:t>指标</w:t>
            </w:r>
          </w:p>
        </w:tc>
        <w:tc>
          <w:tcPr>
            <w:tcW w:type="dxa" w:w="1944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sz w:val="18"/>
              </w:rPr>
              <w:t>数值</w:t>
            </w:r>
          </w:p>
        </w:tc>
        <w:tc>
          <w:tcPr>
            <w:tcW w:type="dxa" w:w="5472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sz w:val="18"/>
              </w:rPr>
              <w:t>学术解释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Clean Accuracy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92.800%</w:t>
            </w:r>
          </w:p>
        </w:tc>
        <w:tc>
          <w:tcPr>
            <w:tcW w:type="dxa" w:w="54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基础模型效用合理，攻击建立在已学习模型上。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MSE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0.000120</w:t>
            </w:r>
          </w:p>
        </w:tc>
        <w:tc>
          <w:tcPr>
            <w:tcW w:type="dxa" w:w="54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像素级重建误差极低，目标图像与重建图像几乎一致。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PSNR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39.200 dB</w:t>
            </w:r>
          </w:p>
        </w:tc>
        <w:tc>
          <w:tcPr>
            <w:tcW w:type="dxa" w:w="54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超过 30 dB 通常已表示很强重建质量，本次达到 39.200 dB。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SSIM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0.998673</w:t>
            </w:r>
          </w:p>
        </w:tc>
        <w:tc>
          <w:tcPr>
            <w:tcW w:type="dxa" w:w="54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结构相似性接近 1，说明数字轮廓和局部结构均被恢复。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Label inference</w:t>
            </w:r>
          </w:p>
        </w:tc>
        <w:tc>
          <w:tcPr>
            <w:tcW w:type="dxa" w:w="19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true=1; inferred=1; correct=1.0</w:t>
            </w:r>
          </w:p>
        </w:tc>
        <w:tc>
          <w:tcPr>
            <w:tcW w:type="dxa" w:w="547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标签推断完全正确。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 w:eastAsia="Microsoft YaHei"/>
          <w:b w:val="0"/>
          <w:sz w:val="21"/>
        </w:rPr>
        <w:t>从定量指标看，GAT-LA 的复现非常强：MSE 为 0.000120，PSNR 为 39.200 dB，SSIM 为 0.998673。这三个指标同时指向同一结论，即攻击不仅恢复了类别形状，而且恢复了接近目标图像的细粒度像素结构。从定性图像看，初始化图像与目标差异明显，而最终重建图像已经呈现与目标一致的数字形态，因此可以判定为高保真重建成功。</w:t>
      </w:r>
    </w:p>
    <w:p>
      <w:r>
        <w:drawing>
          <wp:inline xmlns:a="http://schemas.openxmlformats.org/drawingml/2006/main" xmlns:pic="http://schemas.openxmlformats.org/drawingml/2006/picture">
            <wp:extent cx="2011680" cy="6997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init_reconstru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699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color w:val="555555"/>
          <w:sz w:val="18"/>
        </w:rPr>
        <w:t>图 1：GAT-LA 目标图像、初始化图像与最终重建图像。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1"/>
        </w:rPr>
        <w:t>局限性方面，当前 GAT-LA 证据主要来自 MNIST 单目标样本和 MLP 架构。该设置足以证明算法机制复现成功，但如果要进行更强的外推论证，后续可以增加 CNN、非 IID 数据划分和多目标样本统计。</w:t>
      </w:r>
    </w:p>
    <w:p>
      <w:pPr>
        <w:pStyle w:val="Heading1"/>
      </w:pPr>
      <w:r>
        <w:t>4. FUIA Model Inversion 复现实验分析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1"/>
        </w:rPr>
        <w:t>FUIA 的目标是利用 federated unlearning 前后模型差异恢复被遗忘样本、客户端数据或被遗忘类别。当前实验采用论文中 MNIST 二分类设置，即 digits 0/1，模型为两层卷积与全连接结构的 small CNN。基础模型 clean accuracy 达到 100.000%，说明模型在二分类任务上已充分收敛。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2232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sz w:val="18"/>
              </w:rPr>
              <w:t>攻击层级</w:t>
            </w:r>
          </w:p>
        </w:tc>
        <w:tc>
          <w:tcPr>
            <w:tcW w:type="dxa" w:w="2664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sz w:val="18"/>
              </w:rPr>
              <w:t>核心指标</w:t>
            </w:r>
          </w:p>
        </w:tc>
        <w:tc>
          <w:tcPr>
            <w:tcW w:type="dxa" w:w="4464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sz w:val="18"/>
              </w:rPr>
              <w:t>结果判读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Sample-level inversion</w:t>
            </w:r>
          </w:p>
        </w:tc>
        <w:tc>
          <w:tcPr>
            <w:tcW w:type="dxa" w:w="26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MSE=0.003128; PSNR=25.047 dB</w:t>
            </w:r>
          </w:p>
        </w:tc>
        <w:tc>
          <w:tcPr>
            <w:tcW w:type="dxa" w:w="44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单样本重建质量较高，数字主体清晰，隐私泄露明显。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Client-level inversion</w:t>
            </w:r>
          </w:p>
        </w:tc>
        <w:tc>
          <w:tcPr>
            <w:tcW w:type="dxa" w:w="26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MSE=0.005095; PSNR=22.928 dB</w:t>
            </w:r>
          </w:p>
        </w:tc>
        <w:tc>
          <w:tcPr>
            <w:tcW w:type="dxa" w:w="44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客户端级目标仍能恢复主要形态，说明 client unlearning 差分包含可利用信息。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Class-level inference</w:t>
            </w:r>
          </w:p>
        </w:tc>
        <w:tc>
          <w:tcPr>
            <w:tcW w:type="dxa" w:w="26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accuracy=100.000%</w:t>
            </w:r>
          </w:p>
        </w:tc>
        <w:tc>
          <w:tcPr>
            <w:tcW w:type="dxa" w:w="446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被遗忘类别被完全识别，类别级隐私泄露复现成功。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 w:eastAsia="Microsoft YaHei"/>
          <w:b w:val="0"/>
          <w:sz w:val="21"/>
        </w:rPr>
        <w:t>本次 FUIA 比此前版本更强：sample-level PSNR 达到 25.047 dB，client-level PSNR 达到 22.928 dB，且 class-level accuracy 为 100%。这说明攻击在三个层级上均形成有效泄露。尤其 sample-level 的 MSE 仅为 0.003128，已不只是粗略可辨认，而是较高质量的模型反演。client-level 的恢复略低于 sample-level，这是合理现象，因为客户端级 unlearning 通常混入更多数据分布与更新噪声。</w:t>
      </w:r>
    </w:p>
    <w:p>
      <w:r>
        <w:drawing>
          <wp:inline xmlns:a="http://schemas.openxmlformats.org/drawingml/2006/main" xmlns:pic="http://schemas.openxmlformats.org/drawingml/2006/picture">
            <wp:extent cx="2926080" cy="33791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reconstruction_gr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3379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color w:val="555555"/>
          <w:sz w:val="18"/>
        </w:rPr>
        <w:t>图 2：FUIA sample-level 与 client-level 目标/重建对比。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1"/>
        </w:rPr>
        <w:t>需要注意的是，本实验使用 MNIST 二分类任务，这与论文中将 MNIST 构造为二分类任务的设置一致。它能够严格验证 FUIA 在二分类 unlearning 场景下的隐私泄露机制。若未来需要展示更广泛适用性，可进一步加入 CIFAR-10/CIFAR-100 或 CelebA，但这不影响当前独立复现的成功判定。</w:t>
      </w:r>
    </w:p>
    <w:p>
      <w:pPr>
        <w:pStyle w:val="Heading1"/>
      </w:pPr>
      <w:r>
        <w:t>5. ULIA Label Inference 复现实验分析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1"/>
        </w:rPr>
        <w:t>ULIA 的攻击目标是从 unlearning 引起的模型更新差异中推断被遗忘数据的标签集合。当前实验覆盖 federaser、rapid_retrain、sga_ewc 三种 unlearning 变体，以及 sample、class、client 三种遗忘场景；每个 method-scenario 组合运行 30 次 trial，共 270 条 trial-level 结果。基础模型 clean accuracy 为 97.400%。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8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sz w:val="18"/>
              </w:rPr>
              <w:t>Unlearning 方法</w:t>
            </w:r>
          </w:p>
        </w:tc>
        <w:tc>
          <w:tcPr>
            <w:tcW w:type="dxa" w:w="1440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sz w:val="18"/>
              </w:rPr>
              <w:t>遗忘场景</w:t>
            </w:r>
          </w:p>
        </w:tc>
        <w:tc>
          <w:tcPr>
            <w:tcW w:type="dxa" w:w="1655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sz w:val="18"/>
              </w:rPr>
              <w:t>Mean ASR-IoU</w:t>
            </w:r>
          </w:p>
        </w:tc>
        <w:tc>
          <w:tcPr>
            <w:tcW w:type="dxa" w:w="1007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sz w:val="18"/>
              </w:rPr>
              <w:t>Std</w:t>
            </w:r>
          </w:p>
        </w:tc>
        <w:tc>
          <w:tcPr>
            <w:tcW w:type="dxa" w:w="1007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sz w:val="18"/>
              </w:rPr>
              <w:t>Trials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federaser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sample</w:t>
            </w:r>
          </w:p>
        </w:tc>
        <w:tc>
          <w:tcPr>
            <w:tcW w:type="dxa" w:w="165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1.000</w:t>
            </w:r>
          </w:p>
        </w:tc>
        <w:tc>
          <w:tcPr>
            <w:tcW w:type="dxa" w:w="100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0.000</w:t>
            </w:r>
          </w:p>
        </w:tc>
        <w:tc>
          <w:tcPr>
            <w:tcW w:type="dxa" w:w="100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federaser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class</w:t>
            </w:r>
          </w:p>
        </w:tc>
        <w:tc>
          <w:tcPr>
            <w:tcW w:type="dxa" w:w="165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1.000</w:t>
            </w:r>
          </w:p>
        </w:tc>
        <w:tc>
          <w:tcPr>
            <w:tcW w:type="dxa" w:w="100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0.000</w:t>
            </w:r>
          </w:p>
        </w:tc>
        <w:tc>
          <w:tcPr>
            <w:tcW w:type="dxa" w:w="100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federaser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client</w:t>
            </w:r>
          </w:p>
        </w:tc>
        <w:tc>
          <w:tcPr>
            <w:tcW w:type="dxa" w:w="165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1.000</w:t>
            </w:r>
          </w:p>
        </w:tc>
        <w:tc>
          <w:tcPr>
            <w:tcW w:type="dxa" w:w="100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0.000</w:t>
            </w:r>
          </w:p>
        </w:tc>
        <w:tc>
          <w:tcPr>
            <w:tcW w:type="dxa" w:w="100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rapid_retrain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sample</w:t>
            </w:r>
          </w:p>
        </w:tc>
        <w:tc>
          <w:tcPr>
            <w:tcW w:type="dxa" w:w="165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1.000</w:t>
            </w:r>
          </w:p>
        </w:tc>
        <w:tc>
          <w:tcPr>
            <w:tcW w:type="dxa" w:w="100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0.000</w:t>
            </w:r>
          </w:p>
        </w:tc>
        <w:tc>
          <w:tcPr>
            <w:tcW w:type="dxa" w:w="100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rapid_retrain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class</w:t>
            </w:r>
          </w:p>
        </w:tc>
        <w:tc>
          <w:tcPr>
            <w:tcW w:type="dxa" w:w="165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1.000</w:t>
            </w:r>
          </w:p>
        </w:tc>
        <w:tc>
          <w:tcPr>
            <w:tcW w:type="dxa" w:w="100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0.000</w:t>
            </w:r>
          </w:p>
        </w:tc>
        <w:tc>
          <w:tcPr>
            <w:tcW w:type="dxa" w:w="100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rapid_retrain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client</w:t>
            </w:r>
          </w:p>
        </w:tc>
        <w:tc>
          <w:tcPr>
            <w:tcW w:type="dxa" w:w="165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1.000</w:t>
            </w:r>
          </w:p>
        </w:tc>
        <w:tc>
          <w:tcPr>
            <w:tcW w:type="dxa" w:w="100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0.000</w:t>
            </w:r>
          </w:p>
        </w:tc>
        <w:tc>
          <w:tcPr>
            <w:tcW w:type="dxa" w:w="100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sga_ewc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sample</w:t>
            </w:r>
          </w:p>
        </w:tc>
        <w:tc>
          <w:tcPr>
            <w:tcW w:type="dxa" w:w="165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1.000</w:t>
            </w:r>
          </w:p>
        </w:tc>
        <w:tc>
          <w:tcPr>
            <w:tcW w:type="dxa" w:w="100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0.000</w:t>
            </w:r>
          </w:p>
        </w:tc>
        <w:tc>
          <w:tcPr>
            <w:tcW w:type="dxa" w:w="100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sga_ewc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class</w:t>
            </w:r>
          </w:p>
        </w:tc>
        <w:tc>
          <w:tcPr>
            <w:tcW w:type="dxa" w:w="165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1.000</w:t>
            </w:r>
          </w:p>
        </w:tc>
        <w:tc>
          <w:tcPr>
            <w:tcW w:type="dxa" w:w="100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0.000</w:t>
            </w:r>
          </w:p>
        </w:tc>
        <w:tc>
          <w:tcPr>
            <w:tcW w:type="dxa" w:w="100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30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sga_ewc</w:t>
            </w:r>
          </w:p>
        </w:tc>
        <w:tc>
          <w:tcPr>
            <w:tcW w:type="dxa" w:w="144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client</w:t>
            </w:r>
          </w:p>
        </w:tc>
        <w:tc>
          <w:tcPr>
            <w:tcW w:type="dxa" w:w="165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1.000</w:t>
            </w:r>
          </w:p>
        </w:tc>
        <w:tc>
          <w:tcPr>
            <w:tcW w:type="dxa" w:w="100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0.000</w:t>
            </w:r>
          </w:p>
        </w:tc>
        <w:tc>
          <w:tcPr>
            <w:tcW w:type="dxa" w:w="100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30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 w:eastAsia="Microsoft YaHei"/>
          <w:b w:val="0"/>
          <w:sz w:val="21"/>
        </w:rPr>
        <w:t>ULIA 的总体 mean ASR-IoU 为 1.000。更重要的是，九个组合的 mean ASR-IoU 均为 1.000，std 均为 0.000。这表示攻击不是只在单一场景偶然成功，而是在三类 unlearning 方法与三种遗忘粒度下均稳定恢复真实标签集合。从复现角度看，这一结果能够充分支持论文关于 federated unlearning 过程中标签信息泄露的核心论断。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1"/>
        </w:rPr>
        <w:t>局限性方面，当前 ULIA 仍然是在 MNIST、IID 分布、单遗忘标签数量的设定下运行。满分结果说明该设定下标签泄露非常强，但不应直接外推到所有复杂数据集和多标签遗忘任务；这些可以作为后续扩展，而不是当前复现失败的证据。</w:t>
      </w:r>
    </w:p>
    <w:p>
      <w:pPr>
        <w:pStyle w:val="Heading1"/>
      </w:pPr>
      <w:r>
        <w:t>6. Camouflaged Poisoning 复现实验分析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1"/>
        </w:rPr>
        <w:t>Camouflaged Poisoning 的复现判定最强调因果结构：攻击必须在训练期保持隐蔽，在 camouflage 被 unlearn 后激活，同时 no-poison control 不能被同样激活。当前实验设置 target label 为 1，adversarial label 为 0，目标样本数为 1，poison/camouflage budget 均为 96，并采用 exact_retrain_without_camouflage 作为删除协议。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736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sz w:val="18"/>
              </w:rPr>
              <w:t>阶段/控制条件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sz w:val="18"/>
              </w:rPr>
              <w:t>Clean Accuracy</w:t>
            </w:r>
          </w:p>
        </w:tc>
        <w:tc>
          <w:tcPr>
            <w:tcW w:type="dxa" w:w="136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sz w:val="18"/>
              </w:rPr>
              <w:t>Target ASR</w:t>
            </w:r>
          </w:p>
        </w:tc>
        <w:tc>
          <w:tcPr>
            <w:tcW w:type="dxa" w:w="3671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sz w:val="18"/>
              </w:rPr>
              <w:t>解释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Clean reference</w:t>
            </w:r>
          </w:p>
        </w:tc>
        <w:tc>
          <w:tcPr>
            <w:tcW w:type="dxa" w:w="15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97.900%</w:t>
            </w:r>
          </w:p>
        </w:tc>
        <w:tc>
          <w:tcPr>
            <w:tcW w:type="dxa" w:w="13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0.000%</w:t>
            </w:r>
          </w:p>
        </w:tc>
        <w:tc>
          <w:tcPr>
            <w:tcW w:type="dxa" w:w="367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干净参考模型正确分类目标样本，排除目标天然误分。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Before unlearning: poison + camouflage</w:t>
            </w:r>
          </w:p>
        </w:tc>
        <w:tc>
          <w:tcPr>
            <w:tcW w:type="dxa" w:w="15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97.200%</w:t>
            </w:r>
          </w:p>
        </w:tc>
        <w:tc>
          <w:tcPr>
            <w:tcW w:type="dxa" w:w="13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0.000%</w:t>
            </w:r>
          </w:p>
        </w:tc>
        <w:tc>
          <w:tcPr>
            <w:tcW w:type="dxa" w:w="367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训练期 ASR 为 0，说明 camouflage 成功隐藏 poison 影响。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After unlearning: remove camouflage</w:t>
            </w:r>
          </w:p>
        </w:tc>
        <w:tc>
          <w:tcPr>
            <w:tcW w:type="dxa" w:w="15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96.950%</w:t>
            </w:r>
          </w:p>
        </w:tc>
        <w:tc>
          <w:tcPr>
            <w:tcW w:type="dxa" w:w="13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100.000%</w:t>
            </w:r>
          </w:p>
        </w:tc>
        <w:tc>
          <w:tcPr>
            <w:tcW w:type="dxa" w:w="367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删除 camouflage 后 ASR 达到 100%，攻击被激活。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Poison-only reference</w:t>
            </w:r>
          </w:p>
        </w:tc>
        <w:tc>
          <w:tcPr>
            <w:tcW w:type="dxa" w:w="15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96.950%</w:t>
            </w:r>
          </w:p>
        </w:tc>
        <w:tc>
          <w:tcPr>
            <w:tcW w:type="dxa" w:w="13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100.000%</w:t>
            </w:r>
          </w:p>
        </w:tc>
        <w:tc>
          <w:tcPr>
            <w:tcW w:type="dxa" w:w="367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与删除 camouflage 后一致，证明 poison 本身具备目标攻击能力。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No-poison control before</w:t>
            </w:r>
          </w:p>
        </w:tc>
        <w:tc>
          <w:tcPr>
            <w:tcW w:type="dxa" w:w="15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97.750%</w:t>
            </w:r>
          </w:p>
        </w:tc>
        <w:tc>
          <w:tcPr>
            <w:tcW w:type="dxa" w:w="13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0.000%</w:t>
            </w:r>
          </w:p>
        </w:tc>
        <w:tc>
          <w:tcPr>
            <w:tcW w:type="dxa" w:w="367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无 poison 时，只有 camouflage 不触发目标攻击。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No-poison control after</w:t>
            </w:r>
          </w:p>
        </w:tc>
        <w:tc>
          <w:tcPr>
            <w:tcW w:type="dxa" w:w="15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97.550%</w:t>
            </w:r>
          </w:p>
        </w:tc>
        <w:tc>
          <w:tcPr>
            <w:tcW w:type="dxa" w:w="13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0.000%</w:t>
            </w:r>
          </w:p>
        </w:tc>
        <w:tc>
          <w:tcPr>
            <w:tcW w:type="dxa" w:w="367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无 poison 删除后仍不触发，排除 unlearning 本身造成假阳性。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 w:eastAsia="Microsoft YaHei"/>
          <w:b w:val="0"/>
          <w:sz w:val="21"/>
        </w:rPr>
        <w:t>这组结果满足 camouflaged poisoning 的三个核心条件。第一，训练期隐蔽性成立：before-unlearning clean accuracy 为 97.200%，target ASR 为 0.000%。第二，删除后激活成立：after-unlearning target ASR 升至 100.000%，而 clean accuracy 仍为 96.950%，没有出现模型整体坍塌。第三，控制实验成立：no-poison control 在删除前后 target ASR 均为 0.000%，说明攻击激活不能归因于 unlearning 程序本身，而必须依赖 poison 与 camouflage 的组合结构。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120"/>
        <w:gridCol w:w="3120"/>
        <w:gridCol w:w="3120"/>
      </w:tblGrid>
      <w:tr>
        <w:tc>
          <w:tcPr>
            <w:tcW w:type="dxa" w:w="2520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sz w:val="18"/>
              </w:rPr>
              <w:t>指标</w:t>
            </w:r>
          </w:p>
        </w:tc>
        <w:tc>
          <w:tcPr>
            <w:tcW w:type="dxa" w:w="2088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sz w:val="18"/>
              </w:rPr>
              <w:t>数值</w:t>
            </w:r>
          </w:p>
        </w:tc>
        <w:tc>
          <w:tcPr>
            <w:tcW w:type="dxa" w:w="4752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sz w:val="18"/>
              </w:rPr>
              <w:t>判读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Target ASR increase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100.000%</w:t>
            </w:r>
          </w:p>
        </w:tc>
        <w:tc>
          <w:tcPr>
            <w:tcW w:type="dxa" w:w="475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从 0 到 100%，激活幅度完整。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Clean accuracy drop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0.250%</w:t>
            </w:r>
          </w:p>
        </w:tc>
        <w:tc>
          <w:tcPr>
            <w:tcW w:type="dxa" w:w="475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仅下降 0.250 个百分点，保留效用基本稳定。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Poison gradient matching loss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0.200099</w:t>
            </w:r>
          </w:p>
        </w:tc>
        <w:tc>
          <w:tcPr>
            <w:tcW w:type="dxa" w:w="475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poison 与目标对抗梯度存在有效对齐。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Camouflage target-repair loss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0.093936</w:t>
            </w:r>
          </w:p>
        </w:tc>
        <w:tc>
          <w:tcPr>
            <w:tcW w:type="dxa" w:w="475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camouflage 修复/隐藏目标效果明显，训练期 ASR 被压制到 0。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Unlearning protocol</w:t>
            </w:r>
          </w:p>
        </w:tc>
        <w:tc>
          <w:tcPr>
            <w:tcW w:type="dxa" w:w="20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exact_retrain_without_camouflage</w:t>
            </w:r>
          </w:p>
        </w:tc>
        <w:tc>
          <w:tcPr>
            <w:tcW w:type="dxa" w:w="475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通过精确移除 camouflage 的重训练对照实现，不依赖破坏性梯度上升。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 w:eastAsia="Microsoft YaHei"/>
          <w:b w:val="0"/>
          <w:sz w:val="21"/>
        </w:rPr>
        <w:t>因此，Camouflaged Poisoning 当前可以判定为成功复现。与旧结果相比，本次最重要的改进是 no-poison control 不再失败，且 after-unlearning 模型保持较高 clean accuracy。这说明复现不再依赖模型坍塌或作弊式后处理，而是体现了论文中“camouflage 在训练期隐藏 poison，unlearning 后暴露 poison”的攻击机制。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1"/>
        </w:rPr>
        <w:t>局限性也需要如实说明：当前 Camouflaged Poisoning 采用 single-target targeted attack，这是论文 Algorithm 1/2 的基本目标形式，适合验证机制；但若要声称广泛攻击成功率，还需要扩展到多目标样本、不同 label pair、non-IID 分布和更多聚合规则。</w:t>
      </w:r>
    </w:p>
    <w:p>
      <w:pPr>
        <w:pStyle w:val="Heading1"/>
      </w:pPr>
      <w:r>
        <w:t>7. 输出文件与可追溯性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4680"/>
        <w:gridCol w:w="4680"/>
      </w:tblGrid>
      <w:tr>
        <w:tc>
          <w:tcPr>
            <w:tcW w:type="dxa" w:w="3744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sz w:val="18"/>
              </w:rPr>
              <w:t>文件</w:t>
            </w:r>
          </w:p>
        </w:tc>
        <w:tc>
          <w:tcPr>
            <w:tcW w:type="dxa" w:w="5616"/>
            <w:vAlign w:val="center"/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gat_la_reconstruction/result.json</w:t>
            </w:r>
          </w:p>
        </w:tc>
        <w:tc>
          <w:tcPr>
            <w:tcW w:type="dxa" w:w="561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GAT-LA 最新配置、指标、输出目录。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gat_la_reconstruction/run-*/reconstruction.pt</w:t>
            </w:r>
          </w:p>
        </w:tc>
        <w:tc>
          <w:tcPr>
            <w:tcW w:type="dxa" w:w="561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目标、初始化、重建张量与 loss trace。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gat_la_reconstruction/run-*/target_init_reconstruction.png</w:t>
            </w:r>
          </w:p>
        </w:tc>
        <w:tc>
          <w:tcPr>
            <w:tcW w:type="dxa" w:w="561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目标/初始化/重建可视化。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fuia_model_inversion/result.json</w:t>
            </w:r>
          </w:p>
        </w:tc>
        <w:tc>
          <w:tcPr>
            <w:tcW w:type="dxa" w:w="561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FUIA sample/client/class 三层指标。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fuia_model_inversion/run-*/reconstructions.pt</w:t>
            </w:r>
          </w:p>
        </w:tc>
        <w:tc>
          <w:tcPr>
            <w:tcW w:type="dxa" w:w="561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sample/client 的 target 与 reconstruction 张量。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fuia_model_inversion/run-*/target_reconstruction_grid.png</w:t>
            </w:r>
          </w:p>
        </w:tc>
        <w:tc>
          <w:tcPr>
            <w:tcW w:type="dxa" w:w="561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本报告生成的 FUIA 可视化辅助图。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ulia_label_inference/result.json</w:t>
            </w:r>
          </w:p>
        </w:tc>
        <w:tc>
          <w:tcPr>
            <w:tcW w:type="dxa" w:w="561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ULIA 总体指标与九组 summary。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ulia_label_inference/run-*/summary.csv</w:t>
            </w:r>
          </w:p>
        </w:tc>
        <w:tc>
          <w:tcPr>
            <w:tcW w:type="dxa" w:w="561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method-scenario 汇总结果。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ulia_label_inference/run-*/detailed_results.csv</w:t>
            </w:r>
          </w:p>
        </w:tc>
        <w:tc>
          <w:tcPr>
            <w:tcW w:type="dxa" w:w="561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270 条 trial-level 标签推断结果。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camouflaged_poisoning/result.json</w:t>
            </w:r>
          </w:p>
        </w:tc>
        <w:tc>
          <w:tcPr>
            <w:tcW w:type="dxa" w:w="561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Camouflaged 主实验、poison-only、clean reference 与 no-poison control 指标。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camouflaged_poisoning/run-*/crafted_sets.pt</w:t>
            </w:r>
          </w:p>
        </w:tc>
        <w:tc>
          <w:tcPr>
            <w:tcW w:type="dxa" w:w="561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target、poison、camouflage 张量及标签。</w:t>
            </w:r>
          </w:p>
        </w:tc>
      </w:tr>
    </w:tbl>
    <w:p/>
    <w:p>
      <w:pPr>
        <w:pStyle w:val="Heading1"/>
      </w:pPr>
      <w:r>
        <w:t>8. 总体结论与后续建议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1"/>
        </w:rPr>
        <w:t>综合四个独立复现实验，本次 attack reproduction 已达到成功复现标准。GAT-LA 在梯度重建上达到高保真水平；FUIA 在样本、客户端和类别三个层级均体现模型反演能力；ULIA 在多种 unlearning 变体和遗忘粒度下稳定完成标签推断；Camouflaged Poisoning 通过了训练期隐蔽、删除后激活和 no-poison control 三重检验。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  <w:sz w:val="21"/>
        </w:rPr>
        <w:t>从学术报告角度，建议在最终论文或项目报告中将这四项作为独立攻击复现模块呈现，并明确标注每项当前的实验边界：GAT-LA 和 Camouflaged Poisoning 以 targeted setting 为主，FUIA 使用 MNIST 二分类任务，ULIA 使用 IID MNIST 与单遗忘标签设定。这样的表述既能体现复现成功，也能避免过度泛化。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6666"/>
        <w:sz w:val="18"/>
      </w:rPr>
      <w:t>fu_repro_benchmark · outputs/attack_reproduction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66666"/>
        <w:sz w:val="18"/>
      </w:rPr>
      <w:t>Attack Reproduction Analysis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