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263" w:rsidRPr="00025263" w:rsidRDefault="00025263" w:rsidP="00025263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025263">
        <w:rPr>
          <w:rFonts w:ascii="Times New Roman" w:hAnsi="Times New Roman" w:cs="Times New Roman"/>
          <w:i/>
          <w:sz w:val="28"/>
          <w:szCs w:val="28"/>
        </w:rPr>
        <w:t>УДК</w:t>
      </w:r>
    </w:p>
    <w:p w:rsidR="00025263" w:rsidRPr="00025263" w:rsidRDefault="00F3514B" w:rsidP="00025263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Смирнов.А.И</w:t>
      </w:r>
      <w:proofErr w:type="spellEnd"/>
    </w:p>
    <w:p w:rsidR="00025263" w:rsidRPr="00025263" w:rsidRDefault="00025263" w:rsidP="00025263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025263">
        <w:rPr>
          <w:rFonts w:ascii="Times New Roman" w:hAnsi="Times New Roman" w:cs="Times New Roman"/>
          <w:i/>
          <w:sz w:val="28"/>
          <w:szCs w:val="28"/>
        </w:rPr>
        <w:t>АНПОО «Омская академия экономики и предпринимательства»</w:t>
      </w:r>
    </w:p>
    <w:p w:rsidR="00025263" w:rsidRPr="00025263" w:rsidRDefault="00025263" w:rsidP="00025263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025263">
        <w:rPr>
          <w:rFonts w:ascii="Times New Roman" w:hAnsi="Times New Roman" w:cs="Times New Roman"/>
          <w:i/>
          <w:sz w:val="28"/>
          <w:szCs w:val="28"/>
        </w:rPr>
        <w:t xml:space="preserve">Научный руководитель </w:t>
      </w:r>
      <w:proofErr w:type="spellStart"/>
      <w:r w:rsidRPr="00025263">
        <w:rPr>
          <w:rFonts w:ascii="Times New Roman" w:hAnsi="Times New Roman" w:cs="Times New Roman"/>
          <w:i/>
          <w:sz w:val="28"/>
          <w:szCs w:val="28"/>
        </w:rPr>
        <w:t>Грабовецкий</w:t>
      </w:r>
      <w:proofErr w:type="spellEnd"/>
      <w:r w:rsidRPr="00025263">
        <w:rPr>
          <w:rFonts w:ascii="Times New Roman" w:hAnsi="Times New Roman" w:cs="Times New Roman"/>
          <w:i/>
          <w:sz w:val="28"/>
          <w:szCs w:val="28"/>
        </w:rPr>
        <w:t xml:space="preserve"> Д.С.</w:t>
      </w:r>
    </w:p>
    <w:p w:rsidR="00025263" w:rsidRPr="00025263" w:rsidRDefault="00025263" w:rsidP="000252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025263" w:rsidRPr="00025263" w:rsidRDefault="00F3514B" w:rsidP="00F3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b/>
          <w:sz w:val="28"/>
          <w:szCs w:val="28"/>
        </w:rPr>
        <w:t>ПОВЫШЕНИЕ КВАЛИФИКАЦИИ РАЗРАБОТЧИКОВ В ОБЛАСТИ МАШИННОЙ ЗАЩИТЫ КАК ФАКТОР СНИЖЕНИЯ УЯЗВИМОСТЕЙ В ИТ-ПРОДУКТАХ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Аннотация: </w:t>
      </w:r>
      <w:proofErr w:type="gramStart"/>
      <w:r w:rsidRPr="00F3514B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3514B">
        <w:rPr>
          <w:rFonts w:ascii="Times New Roman" w:hAnsi="Times New Roman" w:cs="Times New Roman"/>
          <w:sz w:val="28"/>
          <w:szCs w:val="28"/>
        </w:rPr>
        <w:t xml:space="preserve"> данной статье рассматривается роль повышения квалификации разработчиков в области машинной защиты (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) как ключевого элемента снижения количества критических уязвимостей в ИТ-продуктах. Отмечается, что человеческий фактор и недостаток профильных компетенций у программистов остаются основными причинами появления брешей в безопасности на этапе написания кода. Анализируются современные подходы к обучению безопасной разработке (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DevSecOps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, безопасные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), а также представлена статистика по инвестициям компаний в защитное обучение и его влияние на сокращение инцидентов.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Ключевые слова: повышение квалификации, машинная защита, безопасная разработка, уязвимости, ИТ-продукты,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DevSecOps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, обучение разработчиков, защита информации, качество кода.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>В современных условиях цифровой трансформации безопасность ИТ-продуктов перестала быть исключительной зоной ответственности специалистов по информационной безопасности. Ключевым звеном в построении надёжной защиты становится сам разработчик, пишущий исходный код. Именно на этапе проектирования и программирования закладывается до 70% потенциальных уязвимостей, которые в дальнейшем могут быть использованы злоумышленниками. В связи с этим повышение квалификации разработчиков в области машинной защиты (защиты приложений, безопасных паттернов кодирования и архитектурных решений) выступает не просто желательным, а критически необходимым фактором снижения рисков и финансовых потерь от взломов.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Цель данного исследования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рассмотреть наиболее эффективные подходы и форматы повышения квалификации разработчиков в сфере машинной защиты, а также оценить их влияние на снижение уязвимостей в конечных ИТ-продуктах.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В настоящее время традиционное образование в сфере программирования редко включает глубокие модули по безопасной </w:t>
      </w:r>
      <w:r w:rsidRPr="00F3514B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разработке. Выпускники вузов и даже многие практикующие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middle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-разработчики имеют фрагментарные знания о распространённых типах атак (SQL-инъекции, XSS, CSRF, инъекции ОС, небезопасная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и др.) и способах их предотвращения. Между тем, стоимость исправления уязвимости на этапе эксплуатации продукта в десятки и сотни раз выше, чем её устранение на стадии написания кода. Именно поэтому системное повышение квалификации в области машинной защиты становится стратегическим приоритетом для ИТ-организаций, стремящихся к выпуску конкурентоспособных и безопасных решений.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Повышение квалификации разработчиков в области машинной защиты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это целенаправленный процесс углубления компетенций в сфере безопасного проектирования, анализа кода на наличие уязвимостей, использования защищённых библиотек и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, а также внедрения практик безопасного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DevSecOps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). Такой подход формирует у инженеров «мышление защитника», при котором безопасность становится неотъемлемым атрибутом каждого этапа жизненного цикла разработки (SDLC).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Крупные организации всё чаще пересматривают бюджеты в пользу обучения разработчиков основам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. Это обусловлено двумя основными факторами: во-первых, внешний рынок специалистов по защите приложений крайне узок и дорог, во-вторых, большинство инцидентов происходят именно из-за ошибок в коде, которые можно предотвратить путем повышения квалификации существующего персонала. Следовательно, вложения в безопасное программирование признаются наиболее эффективным способом снижения общего уровня уязвимости продуктов без кратного увеличения штата ИБ-специалистов.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Программа повышения квалификации в области машинной защиты способствует формированию у команд разработчиков единого стандарта безопасного кодирования, навыков работы со статическими и динамическими анализаторами кода (SAST/DAST), а также понимания того, как проводить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threat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modelling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(моделирование угроз) на ранних этапах. Это приводит к значительному сокращению количества критических и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высокорисковых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уязвимостей, уменьшению затрат на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пентесты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и исправление багов в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релизных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версиях. Важное место занимает обучение архитекторов и технических лидеров методам построения защищённых систем (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Trust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, защита API, управление секретами). Мероприятия по обучению безопасности рассматриваются руководством как инвестиции в нематериальные активы, напрямую влияющие на репутацию и доверие клиентов.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Современные эмпирические исследования подтверждают прямую корреляцию между регулярным обучением разработчиков безопасным практикам и снижением числа инцидентов. Например, компании, внедрившие обязательные курсы по защите приложений для всех программистов, </w:t>
      </w:r>
      <w:r w:rsidRPr="00F3514B">
        <w:rPr>
          <w:rFonts w:ascii="Times New Roman" w:hAnsi="Times New Roman" w:cs="Times New Roman"/>
          <w:sz w:val="28"/>
          <w:szCs w:val="28"/>
        </w:rPr>
        <w:lastRenderedPageBreak/>
        <w:t xml:space="preserve">фиксируют падение количества выявляемых уязвимостей в готовых продуктах на 40–60% в течение первого года. При этом грамотно выстроенные программы позволяют сократить время на устранение уязвимостей в 2–3 раза, так как разработчики начинают «ловить» ошибки ещё на этапе локальной разработки, а не после выкатки в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В последние годы бюджеты на повышение квалификации в области безопасности растут опережающими темпами. Средние затраты российских ИТ-компаний на обучение разработчиков защитным практикам составляют около 300–500 тыс. рублей в год на одного ключевого инженера, а в крупных корпорациях этот показатель может превышать 1 млн рублей. Приоритет отдаётся обучению работе с OWASP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10, безопасной работе с контейнерами и облачными средами, а также практикам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>Актуальные форматы повышения квалификации в области машинной защиты постоянно эволюционируют. Наиболее эффективными признаются следующие: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Гибридный формат (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blended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), сочетающий самостоятельное изучение теории на онлайн-платформах (например, с использованием специализированных тренажёров по эксплуатации и защите от уязвимостей) и очные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воркшопы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, где разбираются реальные кейсы взломов и способы их предотвращения в кодовой базе компании.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Практические «</w:t>
      </w:r>
      <w:proofErr w:type="gramStart"/>
      <w:r w:rsidRPr="00F3514B">
        <w:rPr>
          <w:rFonts w:ascii="Times New Roman" w:hAnsi="Times New Roman" w:cs="Times New Roman"/>
          <w:sz w:val="28"/>
          <w:szCs w:val="28"/>
        </w:rPr>
        <w:t>красные»/</w:t>
      </w:r>
      <w:proofErr w:type="gramEnd"/>
      <w:r w:rsidRPr="00F3514B">
        <w:rPr>
          <w:rFonts w:ascii="Times New Roman" w:hAnsi="Times New Roman" w:cs="Times New Roman"/>
          <w:sz w:val="28"/>
          <w:szCs w:val="28"/>
        </w:rPr>
        <w:t>«синие» игры (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), в ходе которых разработчики выступают в роли атакующих или защищающихся, что позволяет на собственном опыте понять механику возникновения уязвимостей.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Интеграция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security-гайдлайнов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в регулярный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, когда старшие разработчики или ИБ-специалисты выступают в роли менторов, указывая на уязвимые места прямо в процессе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пулл-реквестов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Короткие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интенсивы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и сертификационные программы по стандартам безопасности (например, CERT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, или курсы по безопасной разработке на конкретных языках —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, C++,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).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>Согласно отраслевым опросам, более 75% крупных ИТ-компаний уже включили модули по машинной защите в свои корпоративные университеты, причём более 90% из них предпочитают разрабатывать собственные кейсы и учебные материалы, основанные на реальных инцидентах в своей инфраструктуре.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>В приоритетном порядке обучение проходят: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разработчики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(как основные авторы бизнес-логики и API);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разработчики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(для защиты от клиентских атак);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архитекторы и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технильные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лиды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(для принятия безопасных архитектурных решений);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-инженеры (для безопасной настройки CI/CD и контейнерных сред);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3514B">
        <w:rPr>
          <w:rFonts w:ascii="Times New Roman" w:hAnsi="Times New Roman" w:cs="Times New Roman"/>
          <w:sz w:val="28"/>
          <w:szCs w:val="28"/>
        </w:rPr>
        <w:t xml:space="preserve"> разработчики мобильных приложений (защита от реверс-инжиниринга и манипуляций).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Инвестиции направляются именно на те категории сотрудников, чей код напрямую контактирует с данными пользователей и критическими сервисами. Такое обучение не только снижает технические риски, но и повышает общую зрелость процесса разработки, делая продукт устойчивым к современным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киберугрозам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>В заключение можно отметить, что руководство современных ИТ-организаций осознаёт прямую зависимость уровня защищённости продуктов от квалификации разработчиков в области машинной защиты. Систематическое повышение квалификации, внедрение безопасных практик кодирования и переподготовка инженеров с учётом актуальных векторов атак становятся важнейшим стратегическим ресурсом. Компании активно наращивают финансирование этого направления, особенно в сферах, связанных с обработкой персональных данных, финансовыми транзакциями и критической инфраструктурой. Наиболее востребованным остаётся гибридный формат с акцентом на практические тренинги. Очевидно, что в будущем проблема безопасности кода и соответствующей квалификации разработчиков будет только обостряться, оставаясь одной из ключевых областей для научных исследований и корпоративных инвестиций.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3514B" w:rsidRPr="00F3514B" w:rsidRDefault="00F3514B" w:rsidP="00F3514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>Петров А. Я. Профессиональное образование и обучение работников (персонала). Правовые основы: учебник для вузов. — Москва.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Кязимов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К. Г. Управление персоналом: профессиональное обучение и развитие: учебник. — 2-е изд. — Москва: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, 2025.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Магура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М. И., Курбатова М. Б. Обучение персонала как конкурентное преимущество. — «Управление персоналом», 2004.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lastRenderedPageBreak/>
        <w:t>Сорокин А.В., Прокопьев А.В. Управление персоналом: Учебное пособие. — Рубцовск, 2021.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OWASP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. OWASP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 10: наиболее критичные риски безопасности веб-приложений (актуализированная версия).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>https://skillbox.ru/media/corptrain/... (дата обращения: май 2026) — адаптировано под IT.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>https://trends.rbc.ru/trends/education/... (дата обращения: май 2026).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514B" w:rsidRPr="00F3514B" w:rsidRDefault="00F3514B" w:rsidP="00F3514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 xml:space="preserve">Данные Росстата и исследований рынка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 xml:space="preserve">/IT (2024–2025), а также отраслевые отчёты по </w:t>
      </w:r>
      <w:proofErr w:type="spellStart"/>
      <w:r w:rsidRPr="00F3514B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F3514B">
        <w:rPr>
          <w:rFonts w:ascii="Times New Roman" w:hAnsi="Times New Roman" w:cs="Times New Roman"/>
          <w:sz w:val="28"/>
          <w:szCs w:val="28"/>
        </w:rPr>
        <w:t>.</w:t>
      </w:r>
    </w:p>
    <w:p w:rsidR="00F3514B" w:rsidRPr="00F3514B" w:rsidRDefault="00F3514B" w:rsidP="00F35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1C63" w:rsidRPr="00F3514B" w:rsidRDefault="00F3514B" w:rsidP="00F3514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14B">
        <w:rPr>
          <w:rFonts w:ascii="Times New Roman" w:hAnsi="Times New Roman" w:cs="Times New Roman"/>
          <w:sz w:val="28"/>
          <w:szCs w:val="28"/>
        </w:rPr>
        <w:t>https://www.hse.ru/science/ и отраслевые отчеты по IT-рынку.</w:t>
      </w:r>
    </w:p>
    <w:sectPr w:rsidR="00581C63" w:rsidRPr="00F35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30703"/>
    <w:multiLevelType w:val="hybridMultilevel"/>
    <w:tmpl w:val="534E5CF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263"/>
    <w:rsid w:val="00025263"/>
    <w:rsid w:val="00581C63"/>
    <w:rsid w:val="009E24AA"/>
    <w:rsid w:val="00AC0548"/>
    <w:rsid w:val="00D32F9E"/>
    <w:rsid w:val="00F3514B"/>
    <w:rsid w:val="00F4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5B0DAC-0A36-4918-8F26-1EB75635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11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по умолчанию</dc:creator>
  <cp:keywords/>
  <dc:description/>
  <cp:lastModifiedBy>Пользователь Windows</cp:lastModifiedBy>
  <cp:revision>2</cp:revision>
  <dcterms:created xsi:type="dcterms:W3CDTF">2026-06-23T15:21:00Z</dcterms:created>
  <dcterms:modified xsi:type="dcterms:W3CDTF">2026-06-23T15:21:00Z</dcterms:modified>
</cp:coreProperties>
</file>