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563EB"/>
          <w:sz w:val="18"/>
        </w:rPr>
        <w:t>TEMIS PROCESS SUITE  |  FASE 2: INICIO DEL PROYECTO / PROJECT CHARTER</w:t>
      </w:r>
    </w:p>
    <w:p>
      <w:pPr>
        <w:spacing w:after="80"/>
      </w:pPr>
      <w:r>
        <w:rPr>
          <w:rFonts w:ascii="Calibri" w:hAnsi="Calibri"/>
          <w:b/>
          <w:color w:val="1E3A8A"/>
          <w:sz w:val="40"/>
        </w:rPr>
        <w:t>Acta Constitutiva del Proyecto TEMIS (Project Charter Oficial)</w:t>
      </w:r>
    </w:p>
    <w:p>
      <w:pPr>
        <w:spacing w:after="280"/>
      </w:pPr>
      <w:r>
        <w:rPr>
          <w:rFonts w:ascii="Calibri" w:hAnsi="Calibri"/>
          <w:i/>
          <w:color w:val="475569"/>
          <w:sz w:val="21"/>
        </w:rPr>
        <w:t>Documento fundacional de autorización formal, justificación de negocio, gobernanza y delimitación de alcance.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Iniciativa: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Proyecto TEMIS (BPMN Suite &amp; Governance)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Código: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TEMIS-GOV-2026-V1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Sponsor: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Dirección de Operaciones &amp; Tecnología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Project Lead: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Ing. Mario Hurtado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Periodo Oficial: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16 Ene 2026 – 04 Dic 2026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Estatus: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Línea Base Oficial Aprobada</w:t>
            </w:r>
          </w:p>
        </w:tc>
      </w:tr>
    </w:tbl>
    <w:p>
      <w:pPr>
        <w:spacing w:after="20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1. Propósito y Justificación de Negocio (Business Case)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El Proyecto TEMIS (Process Suite &amp; Governance) tiene como propósito fundamental diseñar, desarrollar e institucionalizar una plataforma corporativa soberana e inteligente para el modelado de diagramas BPMN, la estandarización Six Sigma mediante Matrices SIPOC y la redacción automatizada de manuales de políticas y procedimientos oficiales.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La justificación estratégica y financiera se fundamenta en tres pilares cardinales: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0F172A"/>
          <w:sz w:val="19"/>
        </w:rPr>
        <w:t xml:space="preserve">1. Erradicación del Gasto Recurrente en Licenciamiento Externo: 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Eliminación total del pago de suscripciones SaaS 'per-seat' en dólares de herramientas comerciales de terceros (específicamente Lucidchart de Lucid Software Inc.), mitigando sobrecostos anuales y generando soberanía sobre el activo de propiedad intelectual.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0F172A"/>
          <w:sz w:val="19"/>
        </w:rPr>
        <w:t xml:space="preserve">2. Supresión del Retrabajo Operativo (Diagrama ➔ Word): 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Sustituir el proceso manual donde un analista de procesos invierte entre 20 y 40 horas redactando documentos extensos en Microsoft Word a partir de un flujo gráfico, unificando en un solo pipeline automático: Captura SIPOC ➔ Generación de Diagrama Bézier ➔ Redacción con IA (Gemini 2.5 Flash).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0F172A"/>
          <w:sz w:val="19"/>
        </w:rPr>
        <w:t xml:space="preserve">3. Gobernanza Continua y Auditoría de Calidad Determinista: 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Implementar un auditor inteligente que valide en tiempo real (0 a 100) que ningún proceso presente decisiones ciegas o tareas sin sistemas asignados (Chronos, Freshdesk, Bria, WhatsApp), con respaldo seguro en Google Workspace Shared Drive mediante Service Account.</w:t>
      </w: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2. Objetivos del Proyecto y Criterios de Éxito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Objetivo General: Desarrollar, desplegar y adoptar institucionalmente la Suite TEMIS como el estándar único corporativo para la gestión de procesos, logrando una reducción &gt;= 80% en los tiempos de documentación y un ahorro del 100% en software externo de diagramación.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Objetivos Específicos: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• Construir un editor Web Cloud SaaS responsivo con ruteo perimetral automático de curvas cúbicas SVG Bézier.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• Integrar el motor de generación bidireccional SIPOC ➔ Diagrama BPMN ➔ Narrativa estructurada (1.0..N).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• Implementar el motor de Auditoría de Procesos con IA (Gemini 2.5 Flash) con calificación Six Sigma en tiempo real.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• Desplegar el sistema de guardado continuo en PostgreSQL y catálogo de flujos en Menú Archivo ▾.</w:t>
      </w: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3. Delimitación del Alcance (Scope Baseline)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460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Dentro del Alcance (In-Scope)</w:t>
            </w:r>
          </w:p>
        </w:tc>
        <w:tc>
          <w:tcPr>
            <w:tcW w:type="dxa" w:w="388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Fuera del Alcance (Out-of-Scope)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Arquitectura y Despliegue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Plataforma Web SaaS Full-Stack (Reflex + FastAPI + PostgreSQL) en Render Cloud.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Soporte o mantenimiento a instaladores monolíticos locales heredados de Windows.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Simbología y Notación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Simbología oficial BPMN (Inicio, Fin, Tareas, Decisiones, Canales WhatsApp/Bria, Sistemas Chronos).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Modelado de diagramas UML de clases de software o infraestructura de redes físicas.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Módulos Funcionales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4 Vistas Modulares: Ficha del Proyecto, Lienzo Bézier, Matriz SIPOC Six Sigma y Gobernanza en 7 Fases.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Motor de ejecución de procesos en tiempo real (BPEL / orquestador de microservicios).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Almacenamiento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Base de datos PostgreSQL en la nube y respaldo en Google Workspace Shared Drive con Service Account.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Almacenamiento en cuentas personales de Google Drive o carpetas locales no gestionadas.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Compatibilidad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Parser nativo determinista para importar 8 pestañas y 640 líneas de Lucidchart CSV/JSON.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Migración de formatos binarios cerrados o propietarios no estructurados.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4. Estructura de Gobernanza y Asignación de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  <w:tc>
          <w:tcPr>
            <w:tcW w:type="dxa" w:w="259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Asignado a</w:t>
            </w:r>
          </w:p>
        </w:tc>
        <w:tc>
          <w:tcPr>
            <w:tcW w:type="dxa" w:w="54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Responsabilidad Principal en el Charter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Sponsor Ejecutivo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Julio Estévez-Bretón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Autorización formal del Charter, financiamiento, patrocinio corporativo y remoción de bloqueos organizacionales.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Project Lead / PM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Ing. Mario Hurtado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Liderazgo integral del proyecto, ejecución del Roadmap 2026, control de entregables y gestión de calidad.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Product Owner (PO)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Líder de Procesos &amp; Negocio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Priorización del backlog funcional, validación de plantillas SIPOC y criterios de aceptación operativa.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Tech &amp; Architecture Lead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Equipo de Arquitectura de Software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Diseño de la infraestructura Web Cloud, base de datos PostgreSQL, API REST FastAPI y rendimiento.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AI &amp; Innovation Lead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Área de Innovación e IA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Prompts estructurados y afinación de Gemini 2.5 Flash para generación de narrativa y auditoría.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Process &amp; QA Auditor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Comité de Calidad y Procesos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Auditoría de cumplimiento metodológico, validación de manuales y certificación de pruebas UAT.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5. Cronograma Maestro de Hitos y Sprints (2026)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Hito / Sprint</w:t>
            </w:r>
          </w:p>
        </w:tc>
        <w:tc>
          <w:tcPr>
            <w:tcW w:type="dxa" w:w="201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50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Entregable Clave Comprometido</w:t>
            </w:r>
          </w:p>
        </w:tc>
        <w:tc>
          <w:tcPr>
            <w:tcW w:type="dxa" w:w="129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Kickoff &amp; Sprint 01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16 Ene – 28 Feb 2026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Base de datos compartida SQLite y sincronización Google Drive inicial.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Completado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Gobernanza &amp; Sprint 02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01 Mar – 30 Abr 2026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Modelado de Gobernanza en 7 Fases, Daily Logs y Matriz RACI.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Completado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Lienzo Base &amp; Sprint 03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01 May – 30 Jun 2026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Motor de diagramación inicial y primeros componentes vectoriales.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Completado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API REST &amp; Sprint 04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01 Jul – 26 Ago 2026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Desacoplamiento arquitectónico con FastAPI y esquemas Pydantic.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Completado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Hito Web SaaS &amp; Sprint 05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27 Ago – 31 Ago 2026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🔥 Migración integral a Reflex Full-Stack, PostgreSQL 18 y Parser Lucidchart.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Completado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Suite Pro &amp; Sprint 06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01 Sep – 15 Sep 2026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Header 50px, Dock de formas, Inspector contextual y Auditor Gemini IA (0-100).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Completado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Persistencia &amp; Sprint 07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16 Sep – 30 Sep 2026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Exportador gráfico vectorial PNG/PDF y auto-guardado en PostgreSQL Cloud.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En Curso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Swimlanes &amp; Sprint 08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01 Oct – 31 Oct 2026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Algoritmo de auto-layout por rol/sistema y sincronización web.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Programado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Drive Backup &amp; Sprint 09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01 Nov – 20 Nov 2026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Respaldo automático en Unidad Compartida Google Drive con Service Account.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Programado</w:t>
            </w:r>
          </w:p>
        </w:tc>
      </w:tr>
      <w:tr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Release Final &amp; Sprint 10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21 Nov – 04 Dic 2026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Pruebas de estrés (+2,000 nodos), manuales oficiales y Cierre Formal.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Programado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6. Riesgos Iniciales, Supuestos y Dependencias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88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 / Supuesto</w:t>
            </w:r>
          </w:p>
        </w:tc>
        <w:tc>
          <w:tcPr>
            <w:tcW w:type="dxa" w:w="158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403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Estrategia de Mitigación / Contingencia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RS-01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Curva de adopción de usuarios habituados a Lucidchart.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Alta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Diseño de interfaz análoga (Dock + Inspector) e importador 1-clic de archivos Lucidchart.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RS-02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Precisión de la IA en la redacción de procedimientos.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Media</w:t>
            </w:r>
          </w:p>
        </w:tc>
        <w:tc>
          <w:tcPr>
            <w:tcW w:type="dxa" w:w="403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Prompts deterministas alimentados estrictamente por la matriz SIPOC Six Sigma.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RS-03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Rendimiento y latencia de conexión en la nube.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Media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Optimización de workers Granian, debounced auto-save (2s) y virtualización SVG.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7. Formalización y Firmas de Aceptación (Sign-off)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Con la firma del presente documento, el Sponsor Ejecutivo y los líderes del proyecto formalizan el inicio oficial de la iniciativa TEMIS, autorizan la aplicación de recursos y validan la línea base del alcance, cronograma y gobernanza.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SPONSOR EJECUTIVO</w:t>
            </w:r>
          </w:p>
        </w:tc>
        <w:tc>
          <w:tcPr>
            <w:tcW w:type="dxa" w:w="288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PROJECT LEAD (PM)</w:t>
            </w:r>
          </w:p>
        </w:tc>
        <w:tc>
          <w:tcPr>
            <w:tcW w:type="dxa" w:w="2880"/>
            <w:shd w:fill="1E3A8A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PRODUCT OWNER / QA</w:t>
            </w:r>
          </w:p>
        </w:tc>
      </w:tr>
      <w:tr>
        <w:tc>
          <w:tcPr>
            <w:tcW w:type="dxa" w:w="2880"/>
            <w:shd w:fill="FAFAFA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___________________________________</w:t>
              <w:br/>
              <w:t>Julio Estévez-Bretón</w:t>
              <w:br/>
              <w:t>Sponsor Ejecutivo del Proyecto</w:t>
              <w:br/>
              <w:t>Dirección de Operaciones &amp; TI</w:t>
            </w:r>
          </w:p>
        </w:tc>
        <w:tc>
          <w:tcPr>
            <w:tcW w:type="dxa" w:w="2880"/>
            <w:shd w:fill="FAFAFA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___________________________________</w:t>
              <w:br/>
              <w:t>Ing. Mario Hurtado</w:t>
              <w:br/>
              <w:t>Project Lead / PM Técnico</w:t>
              <w:br/>
              <w:t>Área Técnica e Innovación</w:t>
            </w:r>
          </w:p>
        </w:tc>
        <w:tc>
          <w:tcPr>
            <w:tcW w:type="dxa" w:w="2880"/>
            <w:shd w:fill="FAFAFA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7"/>
              </w:rPr>
              <w:t>___________________________________</w:t>
              <w:br/>
              <w:t>Líder de Procesos &amp; Calidad</w:t>
              <w:br/>
              <w:t>Product Owner / QA Lead</w:t>
              <w:br/>
              <w:t>Comité de Procesos Corporativos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