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>
          <w:rFonts w:ascii="Poppins" w:cs="Poppins" w:eastAsia="Poppins" w:hAnsi="Poppins"/>
          <w:sz w:val="32"/>
          <w:szCs w:val="32"/>
        </w:rPr>
      </w:pPr>
      <w:bookmarkStart w:colFirst="0" w:colLast="0" w:name="_heading=h.yjww2sfopm7d" w:id="0"/>
      <w:bookmarkEnd w:id="0"/>
      <w:r w:rsidDel="00000000" w:rsidR="00000000" w:rsidRPr="00000000">
        <w:rPr>
          <w:rFonts w:ascii="Poppins" w:cs="Poppins" w:eastAsia="Poppins" w:hAnsi="Poppins"/>
          <w:sz w:val="32"/>
          <w:szCs w:val="32"/>
          <w:rtl w:val="0"/>
        </w:rPr>
        <w:t xml:space="preserve">Plan de trabajo - Integración Respond.io (WhatsApp) ↔ Middleware ↔ MCP interno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000000"/>
          <w:sz w:val="18"/>
          <w:szCs w:val="18"/>
          <w:rtl w:val="0"/>
        </w:rPr>
        <w:t xml:space="preserve">Fecha: 12/01/2026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center"/>
        <w:tblLayout w:type="fixed"/>
        <w:tblLook w:val="0400"/>
      </w:tblPr>
      <w:tblGrid>
        <w:gridCol w:w="4980"/>
        <w:gridCol w:w="5565"/>
        <w:tblGridChange w:id="0">
          <w:tblGrid>
            <w:gridCol w:w="4980"/>
            <w:gridCol w:w="5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Innovación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Jose Antonio Hurtado Palestina - Mirian Ra</w:t>
            </w: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mí</w:t>
            </w: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rez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Respond.io -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Conector de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MCP interno expuesto por HTTP (vía middleware)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7qeplfgxkxh1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E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Implementar una integración para atender conversaciones entrantes de WhatsApp en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consultando información dinámica mediante un MCP interno (expuesto por HTTP) a través de un middleware. El middleware orquesta: recepción de eventos, consulta al MCP, y envío de respuestas a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pyas84c6uzdi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10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Recepción de mensajes entrantes desde Respond.io (webhooks).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Orquestación en middleware (validación, cola, contextos y reintentos).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Consulta de información al MCP interno vía HTTP (adapter).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Envío de respuesta a Respond.io mediante Developer API.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Observabilidad (logs, métricas, trazas) y operación básica (runbook).</w:t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Fuera de alcance (por ahora):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Entrenamiento de modelos o fine-tuning.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Soporte multicanal (solo WhatsApp).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Acciones complejas de CRM/tickets fuera de la consulta MCP y respuesta al usuario.</w:t>
      </w:r>
    </w:p>
    <w:p w:rsidR="00000000" w:rsidDel="00000000" w:rsidP="00000000" w:rsidRDefault="00000000" w:rsidRPr="00000000" w14:paraId="0000001A">
      <w:pPr>
        <w:pStyle w:val="Heading1"/>
        <w:spacing w:after="20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fe63pr6zuyst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3. Arquitectura</w:t>
      </w:r>
    </w:p>
    <w:p w:rsidR="00000000" w:rsidDel="00000000" w:rsidP="00000000" w:rsidRDefault="00000000" w:rsidRPr="00000000" w14:paraId="0000001B">
      <w:pPr>
        <w:pStyle w:val="Heading2"/>
        <w:spacing w:after="200" w:lineRule="auto"/>
        <w:rPr>
          <w:rFonts w:ascii="Poppins" w:cs="Poppins" w:eastAsia="Poppins" w:hAnsi="Poppins"/>
          <w:sz w:val="20"/>
          <w:szCs w:val="20"/>
        </w:rPr>
      </w:pPr>
      <w:bookmarkStart w:colFirst="0" w:colLast="0" w:name="_heading=h.6a4vriw50bbd" w:id="4"/>
      <w:bookmarkEnd w:id="4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3.1 Componentes</w:t>
      </w:r>
    </w:p>
    <w:p w:rsidR="00000000" w:rsidDel="00000000" w:rsidP="00000000" w:rsidRDefault="00000000" w:rsidRPr="00000000" w14:paraId="0000001C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La solución se compone de tres bloques principales: Respond.io (canal), Middleware (orquestación), y MCP interno (fuente dinámica).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Respond.io 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Middleware 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MCP interno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WhatsApp Inbox 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Webhook Receiver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HTTP API / Tools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Webhooks (events)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---&gt;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Queue/Worker   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---&gt;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Datos y reglas 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Developer API (send)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&lt;---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Respond.io Adapter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&lt;---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- Respuesta estructurada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00" w:lineRule="auto"/>
        <w:rPr>
          <w:rFonts w:ascii="Poppins" w:cs="Poppins" w:eastAsia="Poppins" w:hAnsi="Poppins"/>
          <w:sz w:val="20"/>
          <w:szCs w:val="20"/>
        </w:rPr>
      </w:pPr>
      <w:bookmarkStart w:colFirst="0" w:colLast="0" w:name="_heading=h.o5p1562g85ri" w:id="5"/>
      <w:bookmarkEnd w:id="5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3.2 Diagrama de comunicación (secuencia)</w:t>
      </w:r>
    </w:p>
    <w:p w:rsidR="00000000" w:rsidDel="00000000" w:rsidP="00000000" w:rsidRDefault="00000000" w:rsidRPr="00000000" w14:paraId="0000001F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Participantes: Usuario, WhatsApp,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Middleware, MCP.</w:t>
        <w:br w:type="textWrapping"/>
        <w:br w:type="textWrapping"/>
        <w:t xml:space="preserve">1) Usuario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WhatsApp: mensaje</w:t>
        <w:br w:type="textWrapping"/>
        <w:t xml:space="preserve">2) WhatsApp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Respond.io: entrega del mensaje</w:t>
        <w:br w:type="textWrapping"/>
        <w:t xml:space="preserve">3)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Respond.io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Middleware (Webhook): evento 'message.received'</w:t>
        <w:br w:type="textWrapping"/>
        <w:t xml:space="preserve">4) Middleware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Respond.io: 200 OK (ACK rapido)</w:t>
        <w:br w:type="textWrapping"/>
        <w:t xml:space="preserve">5) Middleware (Worker)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MCP (HTTP): consulta con contexto</w:t>
        <w:br w:type="textWrapping"/>
        <w:t xml:space="preserve">6) MCP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Middleware: respuesta (texto + metadatos)</w:t>
        <w:br w:type="textWrapping"/>
        <w:t xml:space="preserve">7) Middleware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Respond.io (Developer API): enviar mensaje de respuesta</w:t>
        <w:br w:type="textWrapping"/>
        <w:t xml:space="preserve">8)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Respond.io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WhatsApp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Usuario: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00" w:lineRule="auto"/>
        <w:rPr>
          <w:rFonts w:ascii="Poppins" w:cs="Poppins" w:eastAsia="Poppins" w:hAnsi="Poppins"/>
          <w:sz w:val="20"/>
          <w:szCs w:val="20"/>
        </w:rPr>
      </w:pPr>
      <w:bookmarkStart w:colFirst="0" w:colLast="0" w:name="_heading=h.dftt9ru3c16w" w:id="6"/>
      <w:bookmarkEnd w:id="6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3.3 Responsabilidades por capa</w:t>
      </w:r>
    </w:p>
    <w:tbl>
      <w:tblPr>
        <w:tblStyle w:val="Table2"/>
        <w:tblW w:w="10598.0" w:type="dxa"/>
        <w:jc w:val="center"/>
        <w:tblLayout w:type="fixed"/>
        <w:tblLook w:val="0400"/>
      </w:tblPr>
      <w:tblGrid>
        <w:gridCol w:w="1532"/>
        <w:gridCol w:w="9066"/>
        <w:tblGridChange w:id="0">
          <w:tblGrid>
            <w:gridCol w:w="1532"/>
            <w:gridCol w:w="906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shd w:fill="0047c7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</w:p>
        </w:tc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shd w:fill="0047c7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Respond.io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Captura mensajes WhatsApp; emite webhooks; permite enviar mensajes </w:t>
            </w: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vía</w:t>
            </w: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Valida</w:t>
            </w: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 eventos; deduplica; gestiona colas; llama al MCP; aplica </w:t>
            </w: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políticas</w:t>
            </w: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; envía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MCP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89cfa" w:space="0" w:sz="4" w:val="single"/>
              <w:left w:color="689cfa" w:space="0" w:sz="4" w:val="single"/>
              <w:bottom w:color="689cfa" w:space="0" w:sz="4" w:val="single"/>
              <w:right w:color="689cf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Resuelve consultas (datos/knowledge dinámico) y devuelve respuesta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n2i9lqhryqrp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4. Plan de trabajo</w:t>
      </w:r>
    </w:p>
    <w:p w:rsidR="00000000" w:rsidDel="00000000" w:rsidP="00000000" w:rsidRDefault="00000000" w:rsidRPr="00000000" w14:paraId="0000002B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Propuesta por fases (con entregables y criterios de listo):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bookmarkStart w:colFirst="0" w:colLast="0" w:name="_heading=h.gku4g46f6s4" w:id="8"/>
      <w:bookmarkEnd w:id="8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Fase 1 - Diseño y preparación (semana 1)</w:t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Definir intents/casos (requiere MCP vs no).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Definir contratos JSON (Webhook in, MCP request/response, Respond.io send).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Definir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política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 errores y handoff (cuando contestar vs escalar).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Definir ambientes: dev/staging/prod, secretos y accesos.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Documento de arquitectura y contratos.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00" w:lineRule="auto"/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Checklist de seguridad y observabilidad.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bookmarkStart w:colFirst="0" w:colLast="0" w:name="_heading=h.bxrtgv7qnleu" w:id="9"/>
      <w:bookmarkEnd w:id="9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Fase 2 - Middleware MVP (semana 2)</w:t>
      </w:r>
    </w:p>
    <w:p w:rsidR="00000000" w:rsidDel="00000000" w:rsidP="00000000" w:rsidRDefault="00000000" w:rsidRPr="00000000" w14:paraId="00000036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Implementar endpoint webhook (ACK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rápido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Implementar cola/worker (o procesamiento 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í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ncrono equivalente).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Implementar adapter MCP (HTTP client con timeouts y reintentos).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Implementar adapter Respond.io (send message).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Idempotencia: deduplicaci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ó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 por message_id/event_id.</w:t>
      </w:r>
    </w:p>
    <w:p w:rsidR="00000000" w:rsidDel="00000000" w:rsidP="00000000" w:rsidRDefault="00000000" w:rsidRPr="00000000" w14:paraId="0000003C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Middleware operativo en dev/staging.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00" w:lineRule="auto"/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Pruebas unitarias b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á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bookmarkStart w:colFirst="0" w:colLast="0" w:name="_heading=h.owr011icbvhp" w:id="10"/>
      <w:bookmarkEnd w:id="10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Fase 3 - Políticas y calidad (semana 3)</w:t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Contexto: cache/resumen por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conversación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Validación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 salida (formato, longitud, respuestas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vacías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Fallback: MCP lento/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caído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-&gt; mensaje de cortesía y/o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escalación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Logging con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correlación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(trace_id) y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métricas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(latencia, error rate).</w:t>
      </w:r>
    </w:p>
    <w:p w:rsidR="00000000" w:rsidDel="00000000" w:rsidP="00000000" w:rsidRDefault="00000000" w:rsidRPr="00000000" w14:paraId="00000045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Guardrails activados.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Dashboards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mínimos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y alertas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básicas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bookmarkStart w:colFirst="0" w:colLast="0" w:name="_heading=h.ykysyexktlu4" w:id="11"/>
      <w:bookmarkEnd w:id="11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Fase 4 - Pruebas end-to-end y Go-Live controlado (semana 4)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Pruebas integrales con conversaciones reales/simuladas.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Prueba de carga ligera (picos esperados).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Despliegue por feature flag / canal piloto.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Runbook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operación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y plan de rollback.</w:t>
      </w:r>
    </w:p>
    <w:p w:rsidR="00000000" w:rsidDel="00000000" w:rsidP="00000000" w:rsidRDefault="00000000" w:rsidRPr="00000000" w14:paraId="0000004E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Go-live piloto WhatsApp.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Reporte de resultados y backlog de mejoras.</w:t>
      </w:r>
    </w:p>
    <w:p w:rsidR="00000000" w:rsidDel="00000000" w:rsidP="00000000" w:rsidRDefault="00000000" w:rsidRPr="00000000" w14:paraId="00000052">
      <w:pP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00" w:lineRule="auto"/>
        <w:jc w:val="both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ogbqfpoj8x3p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5. Consideraciones técnicas</w:t>
      </w:r>
    </w:p>
    <w:p w:rsidR="00000000" w:rsidDel="00000000" w:rsidP="00000000" w:rsidRDefault="00000000" w:rsidRPr="00000000" w14:paraId="00000054">
      <w:pPr>
        <w:pStyle w:val="Heading2"/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bookmarkStart w:colFirst="0" w:colLast="0" w:name="_heading=h.w5nxyhx00h6o" w:id="13"/>
      <w:bookmarkEnd w:id="13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5.1 Confiabilidad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ACK rápido al webhook y procesamiento asíncrono para evitar timeouts.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Idempotencia: evitar doble respuesta si el mismo evento llega dos veces.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Time out y reintentos hacia MCP con backoff y circuit breaker.</w:t>
      </w:r>
    </w:p>
    <w:p w:rsidR="00000000" w:rsidDel="00000000" w:rsidP="00000000" w:rsidRDefault="00000000" w:rsidRPr="00000000" w14:paraId="00000058">
      <w:pPr>
        <w:pStyle w:val="Heading2"/>
        <w:spacing w:after="200" w:lineRule="auto"/>
        <w:jc w:val="both"/>
        <w:rPr>
          <w:sz w:val="20"/>
          <w:szCs w:val="20"/>
        </w:rPr>
      </w:pPr>
      <w:bookmarkStart w:colFirst="0" w:colLast="0" w:name="_heading=h.lew5lslmwqtl" w:id="14"/>
      <w:bookmarkEnd w:id="14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5.2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Validar autenticidad del webhook (secret compartido / firma).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Rotación de tokens de Developer API y almacenamiento en vault.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No registrar PII sensible en logs (enmascaramiento).</w:t>
      </w:r>
    </w:p>
    <w:p w:rsidR="00000000" w:rsidDel="00000000" w:rsidP="00000000" w:rsidRDefault="00000000" w:rsidRPr="00000000" w14:paraId="0000005C">
      <w:pPr>
        <w:pStyle w:val="Heading2"/>
        <w:spacing w:after="200" w:lineRule="auto"/>
        <w:jc w:val="both"/>
        <w:rPr/>
      </w:pPr>
      <w:bookmarkStart w:colFirst="0" w:colLast="0" w:name="_heading=h.uqjovrf7x1yr" w:id="15"/>
      <w:bookmarkEnd w:id="15"/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5.3 Observabilidad y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Logs estructurados con trace_id por conversación/mensaje.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Métricas: latencia p50/p95, tasa de error, tasa de reintentos, volumen por hora.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00" w:lineRule="auto"/>
        <w:ind w:left="360" w:hanging="360"/>
        <w:jc w:val="both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Alertas: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error rate alto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MCP sin respuesta, rate limit de API.</w:t>
      </w:r>
    </w:p>
    <w:p w:rsidR="00000000" w:rsidDel="00000000" w:rsidP="00000000" w:rsidRDefault="00000000" w:rsidRPr="00000000" w14:paraId="00000060">
      <w:pPr>
        <w:spacing w:after="200" w:lineRule="auto"/>
        <w:ind w:left="0" w:firstLine="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00" w:lineRule="auto"/>
        <w:jc w:val="both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sa9oh3o8gcwu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6. Glosario técnico</w:t>
      </w:r>
    </w:p>
    <w:tbl>
      <w:tblPr>
        <w:tblStyle w:val="Table3"/>
        <w:tblW w:w="10598.0" w:type="dxa"/>
        <w:jc w:val="center"/>
        <w:tblLayout w:type="fixed"/>
        <w:tblLook w:val="0400"/>
      </w:tblPr>
      <w:tblGrid>
        <w:gridCol w:w="1811"/>
        <w:gridCol w:w="8787"/>
        <w:tblGridChange w:id="0">
          <w:tblGrid>
            <w:gridCol w:w="1811"/>
            <w:gridCol w:w="8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shd w:fill="98d801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shd w:fill="98d801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Respond.io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Plataforma de mensajería/atención que recibe WhatsApp y expone webhooks y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Llamada HTTP saliente desde Respond.io al middleware para notificar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Developer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API HTTP de Respond.io para enviar mensajes y operar recursos (según permisos).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Servicio intermedio que orquesta eventos, consulta MCP y envía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Model Context Protocol / servicio interno de contexto que expone datos/acciones </w:t>
            </w: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vía</w:t>
            </w: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 HTTP (en este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Propiedad de procesar eventos duplicados sin efectos repetidos (ej. no contestar dos veces).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Respuesta inmediata 200 OK al webhook para confirmar recepción.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Proceso que consume eventos desde una cola y ejecuta la lógica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Límite de tiempo para una solicitud; al excederse, se considera fallo y se aplica fallback/reintento.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Mecanismo que corta llamadas a un servicio inestable temporalmente para proteger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Feature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9a2" w:space="0" w:sz="4" w:val="single"/>
              <w:left w:color="d8e9a2" w:space="0" w:sz="4" w:val="single"/>
              <w:bottom w:color="d8e9a2" w:space="0" w:sz="4" w:val="single"/>
              <w:right w:color="d8e9a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18"/>
                <w:szCs w:val="18"/>
                <w:rtl w:val="0"/>
              </w:rPr>
              <w:t xml:space="preserve">Bandera que permite activar/desactivar la integración sin redeploy.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Contacto técnico: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Jos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é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Antonio Hurtado Palestina y Mirian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Ramírez Martínez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Departamento de innovación IA.</w:t>
      </w:r>
    </w:p>
    <w:p w:rsidR="00000000" w:rsidDel="00000000" w:rsidP="00000000" w:rsidRDefault="00000000" w:rsidRPr="00000000" w14:paraId="0000007C">
      <w:pPr>
        <w:shd w:fill="ffffff" w:val="clear"/>
        <w:spacing w:after="225" w:lineRule="auto"/>
        <w:jc w:val="both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25" w:lineRule="auto"/>
        <w:jc w:val="both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25" w:lineRule="auto"/>
        <w:jc w:val="both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5" w:lineRule="auto"/>
        <w:jc w:val="both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88" w:top="1134" w:left="816" w:right="816" w:header="0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-1521" w:right="-819" w:firstLine="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952</wp:posOffset>
          </wp:positionH>
          <wp:positionV relativeFrom="paragraph">
            <wp:posOffset>-476247</wp:posOffset>
          </wp:positionV>
          <wp:extent cx="6736080" cy="647700"/>
          <wp:effectExtent b="0" l="0" r="0" t="0"/>
          <wp:wrapNone/>
          <wp:docPr id="184959217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36080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tabs>
        <w:tab w:val="center" w:leader="none" w:pos="4419"/>
        <w:tab w:val="right" w:leader="none" w:pos="8838"/>
      </w:tabs>
      <w:ind w:left="-1620" w:right="-1701" w:firstLine="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5886450</wp:posOffset>
          </wp:positionH>
          <wp:positionV relativeFrom="paragraph">
            <wp:posOffset>114300</wp:posOffset>
          </wp:positionV>
          <wp:extent cx="1018223" cy="522688"/>
          <wp:effectExtent b="0" l="0" r="0" t="0"/>
          <wp:wrapNone/>
          <wp:docPr id="18495921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8223" cy="5226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FD2C5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 w:val="1"/>
    <w:rsid w:val="00FD2C5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2C5F"/>
  </w:style>
  <w:style w:type="paragraph" w:styleId="Piedepgina">
    <w:name w:val="footer"/>
    <w:basedOn w:val="Normal"/>
    <w:link w:val="PiedepginaCar"/>
    <w:uiPriority w:val="99"/>
    <w:unhideWhenUsed w:val="1"/>
    <w:rsid w:val="00FD2C5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2C5F"/>
  </w:style>
  <w:style w:type="paragraph" w:styleId="NormalWeb">
    <w:name w:val="Normal (Web)"/>
    <w:basedOn w:val="Normal"/>
    <w:uiPriority w:val="99"/>
    <w:unhideWhenUsed w:val="1"/>
    <w:rsid w:val="005C2FFD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MSBj8trIyVOCS6Sps3huonldw==">CgMxLjAyDmgueWp3dzJzZm9wbTdkMg5oLjdxZXBsZmd4a3hoMTIOaC5weWFzODRjNnV6ZGkyDmguZmU2M3ByNnp1eXN0Mg5oLjZhNHZyaXc1MGJiZDIOaC5vNXAxNTYyZzg1cmkyDmguZGZ0dDlydTNjMTZ3Mg5oLm4yaTlscWhyeXFycDINaC5na3U0ZzQ2ZjZzNDIOaC5ieHJ0Z3Y3cW5sZXUyDmgub3dyMDExaWNidmhwMg5oLnlreXN5ZXhrdGx1NDIOaC5vZ2JxZnBvajh4M3AyDmgudzVueHloeDAwaDZvMg5oLmxldzVsc2xtd3F0bDIOaC51cWpvdnJmN3gxeXIyDmguc2E5b2gzbzhnY3d1OAByITFrUVI0RFZBSmJPMTZ5Q09aMXFRTUthRDhCU3JpMXB3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2026-01-26T15:20:00Z</dcterms:created>
  <dc:creator>Jesús Torres Gómez</dc:creator>
</cp:coreProperties>
</file>