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2563EB"/>
          <w:sz w:val="18"/>
        </w:rPr>
        <w:t>TEMIS PROCESS SUITE  |  MARCO METODOLÓGICO &amp; GOBERNANZA</w:t>
      </w:r>
    </w:p>
    <w:p>
      <w:pPr>
        <w:spacing w:after="120"/>
      </w:pPr>
      <w:r>
        <w:rPr>
          <w:rFonts w:ascii="Calibri" w:hAnsi="Calibri"/>
          <w:b/>
          <w:color w:val="1E3A8A"/>
          <w:sz w:val="44"/>
        </w:rPr>
        <w:t>Marco de Trabajo para la Gestión del Proyecto TEMIS</w:t>
      </w:r>
    </w:p>
    <w:p>
      <w:pPr>
        <w:spacing w:after="360"/>
      </w:pPr>
      <w:r>
        <w:rPr>
          <w:rFonts w:ascii="Calibri" w:hAnsi="Calibri"/>
          <w:i/>
          <w:color w:val="475569"/>
          <w:sz w:val="22"/>
        </w:rPr>
        <w:t>Metodología corporativa de gobernanza en 7 fases, matriz de roles, entregables y auditoría de calidad.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1E3A8A"/>
                <w:sz w:val="18"/>
              </w:rPr>
              <w:t>Proyecto: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0F172A"/>
                <w:sz w:val="18"/>
              </w:rPr>
              <w:t>TEMIS (Process Suite &amp; Governance)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1E3A8A"/>
                <w:sz w:val="18"/>
              </w:rPr>
              <w:t>Periodo: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0F172A"/>
                <w:sz w:val="18"/>
              </w:rPr>
              <w:t>Enero 2026 – Diciembre 2026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1E3A8A"/>
                <w:sz w:val="18"/>
              </w:rPr>
              <w:t>Versión: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0F172A"/>
                <w:sz w:val="18"/>
              </w:rPr>
              <w:t>1.0 Oficial (Web Cloud SaaS)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1E3A8A"/>
                <w:sz w:val="18"/>
              </w:rPr>
              <w:t>Estado: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color w:val="0F172A"/>
                <w:sz w:val="18"/>
              </w:rPr>
              <w:t>Aprobado / Línea Base</w:t>
            </w:r>
          </w:p>
        </w:tc>
      </w:tr>
    </w:tbl>
    <w:p>
      <w:pPr>
        <w:spacing w:after="240"/>
      </w:pPr>
    </w:p>
    <w:p>
      <w:pPr>
        <w:spacing w:before="280" w:after="120"/>
      </w:pPr>
      <w:r>
        <w:rPr>
          <w:rFonts w:ascii="Calibri" w:hAnsi="Calibri"/>
          <w:b/>
          <w:color w:val="1E3A8A"/>
          <w:sz w:val="28"/>
        </w:rPr>
        <w:t>1. Principios Rectores de TEMIS</w:t>
      </w:r>
    </w:p>
    <w:p>
      <w:pPr>
        <w:spacing w:after="10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0F172A"/>
          <w:sz w:val="20"/>
        </w:rPr>
        <w:t>1. Estandarización y Soberanía:</w:t>
      </w:r>
    </w:p>
    <w:p>
      <w:pPr>
        <w:spacing w:after="100" w:line="276" w:lineRule="auto"/>
      </w:pPr>
      <w:r>
        <w:rPr>
          <w:rFonts w:ascii="Calibri" w:hAnsi="Calibri"/>
          <w:color w:val="0F172A"/>
          <w:sz w:val="20"/>
        </w:rPr>
        <w:t>Eliminación de la dependencia de herramientas de terceros (Lucidchart, Miro, Visio) mediante un lienzo web soberano, determinístico y alineado a la simbología oficial BPMN.</w:t>
      </w:r>
    </w:p>
    <w:p>
      <w:pPr>
        <w:spacing w:after="10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0F172A"/>
          <w:sz w:val="20"/>
        </w:rPr>
        <w:t>2. Pipeline Automatizado de 3 Pasos:</w:t>
      </w:r>
    </w:p>
    <w:p>
      <w:pPr>
        <w:spacing w:after="100" w:line="276" w:lineRule="auto"/>
      </w:pPr>
      <w:r>
        <w:rPr>
          <w:rFonts w:ascii="Calibri" w:hAnsi="Calibri"/>
          <w:color w:val="0F172A"/>
          <w:sz w:val="20"/>
        </w:rPr>
        <w:t>Toda iniciativa se modela en una secuencia directa: Captura Tabular SIPOC ➔ Generación de Diagrama Bézier ➔ Redacción Automática de Narrativa / Manual con Gemini 2.5 Flash.</w:t>
      </w:r>
    </w:p>
    <w:p>
      <w:pPr>
        <w:spacing w:after="100" w:line="276" w:lineRule="auto"/>
      </w:pPr>
      <w:r>
        <w:rPr>
          <w:rFonts w:ascii="Calibri" w:hAnsi="Calibri"/>
          <w:b/>
          <w:color w:val="0F172A"/>
          <w:sz w:val="20"/>
        </w:rPr>
        <w:t xml:space="preserve">• </w:t>
      </w:r>
      <w:r>
        <w:rPr>
          <w:rFonts w:ascii="Calibri" w:hAnsi="Calibri"/>
          <w:color w:val="0F172A"/>
          <w:sz w:val="20"/>
        </w:rPr>
        <w:t>3. Gobernanza Continua y Calidad Six Sigma:</w:t>
      </w:r>
    </w:p>
    <w:p>
      <w:pPr>
        <w:spacing w:after="100" w:line="276" w:lineRule="auto"/>
      </w:pPr>
      <w:r>
        <w:rPr>
          <w:rFonts w:ascii="Calibri" w:hAnsi="Calibri"/>
          <w:color w:val="0F172A"/>
          <w:sz w:val="20"/>
        </w:rPr>
        <w:t>Auditoría estructural en tiempo real con calificación de 0 a 100 para garantizar que ningún proceso quede con decisiones inconclusas o actividades huérfanas.</w:t>
      </w:r>
    </w:p>
    <w:p>
      <w:pPr>
        <w:spacing w:before="280" w:after="120"/>
      </w:pPr>
      <w:r>
        <w:rPr>
          <w:rFonts w:ascii="Calibri" w:hAnsi="Calibri"/>
          <w:b/>
          <w:color w:val="1E3A8A"/>
          <w:sz w:val="28"/>
        </w:rPr>
        <w:t>2. Estructura de Roles y Gobernanza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Rol en el Proyecto</w:t>
            </w:r>
          </w:p>
        </w:tc>
        <w:tc>
          <w:tcPr>
            <w:tcW w:type="dxa" w:w="288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Responsable / Área</w:t>
            </w:r>
          </w:p>
        </w:tc>
        <w:tc>
          <w:tcPr>
            <w:tcW w:type="dxa" w:w="2880"/>
            <w:shd w:fill="1E3A8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Responsabilidad Principal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1E3A8A"/>
                <w:sz w:val="18"/>
              </w:rPr>
              <w:t>Sponsor Ejecutivo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8"/>
              </w:rPr>
              <w:t>Dirección de Operaciones &amp; Tecnología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8"/>
              </w:rPr>
              <w:t>Validación estratégica, asignación presupuestal y patrocinio corporativo.</w:t>
            </w:r>
          </w:p>
        </w:tc>
      </w:tr>
      <w:tr>
        <w:tc>
          <w:tcPr>
            <w:tcW w:type="dxa" w:w="288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1E3A8A"/>
                <w:sz w:val="18"/>
              </w:rPr>
              <w:t>Project Lead / PM</w:t>
            </w:r>
          </w:p>
        </w:tc>
        <w:tc>
          <w:tcPr>
            <w:tcW w:type="dxa" w:w="288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8"/>
              </w:rPr>
              <w:t>Ing. Mario Hurtado</w:t>
            </w:r>
          </w:p>
        </w:tc>
        <w:tc>
          <w:tcPr>
            <w:tcW w:type="dxa" w:w="288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8"/>
              </w:rPr>
              <w:t>Gestión integral del proyecto, cumplimiento del Roadmap 2026 y entregables.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1E3A8A"/>
                <w:sz w:val="18"/>
              </w:rPr>
              <w:t>Tech &amp; Architecture Lead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8"/>
              </w:rPr>
              <w:t>Equipo de Arquitectura de Software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8"/>
              </w:rPr>
              <w:t>Diseño full-stack (Reflex, FastAPI, PostgreSQL) y rendimiento en Render.</w:t>
            </w:r>
          </w:p>
        </w:tc>
      </w:tr>
      <w:tr>
        <w:tc>
          <w:tcPr>
            <w:tcW w:type="dxa" w:w="288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1E3A8A"/>
                <w:sz w:val="18"/>
              </w:rPr>
              <w:t>AI &amp; Automation Specialist</w:t>
            </w:r>
          </w:p>
        </w:tc>
        <w:tc>
          <w:tcPr>
            <w:tcW w:type="dxa" w:w="288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8"/>
              </w:rPr>
              <w:t>Área de Innovación e IA</w:t>
            </w:r>
          </w:p>
        </w:tc>
        <w:tc>
          <w:tcPr>
            <w:tcW w:type="dxa" w:w="288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8"/>
              </w:rPr>
              <w:t>Integración y prompts de Gemini 2.5 Flash para SIPOC, flujos y narrativa.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b/>
                <w:color w:val="1E3A8A"/>
                <w:sz w:val="18"/>
              </w:rPr>
              <w:t>Process &amp; QA Auditor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8"/>
              </w:rPr>
              <w:t>Comité de Calidad y Procesos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8"/>
              </w:rPr>
              <w:t>Revisión de manuales de procedimientos, auditoría de flujos y verificación UAT.</w:t>
            </w:r>
          </w:p>
        </w:tc>
      </w:tr>
    </w:tbl>
    <w:p>
      <w:pPr>
        <w:spacing w:before="280" w:after="120"/>
      </w:pPr>
      <w:r>
        <w:rPr>
          <w:rFonts w:ascii="Calibri" w:hAnsi="Calibri"/>
          <w:b/>
          <w:color w:val="1E3A8A"/>
          <w:sz w:val="28"/>
        </w:rPr>
        <w:t>3. El Ciclo de Vida Metodológico en 7 Fases</w:t>
      </w:r>
    </w:p>
    <w:p>
      <w:pPr>
        <w:spacing w:after="100" w:line="276" w:lineRule="auto"/>
      </w:pPr>
      <w:r>
        <w:rPr>
          <w:rFonts w:ascii="Calibri" w:hAnsi="Calibri"/>
          <w:b/>
          <w:color w:val="0F172A"/>
          <w:sz w:val="20"/>
        </w:rPr>
        <w:t xml:space="preserve">• Fase 1: Diagnóstico Estratégico: </w:t>
      </w:r>
      <w:r>
        <w:rPr>
          <w:rFonts w:ascii="Calibri" w:hAnsi="Calibri"/>
          <w:color w:val="0F172A"/>
          <w:sz w:val="20"/>
        </w:rPr>
        <w:t>Entregables: Ficha de Diagnóstico, Matriz de Interesados y Justificación de Negocio. Foco: Identificación de ineficiencias en herramientas heredadas.</w:t>
      </w:r>
    </w:p>
    <w:p>
      <w:pPr>
        <w:spacing w:after="100" w:line="276" w:lineRule="auto"/>
      </w:pPr>
      <w:r>
        <w:rPr>
          <w:rFonts w:ascii="Calibri" w:hAnsi="Calibri"/>
          <w:b/>
          <w:color w:val="0F172A"/>
          <w:sz w:val="20"/>
        </w:rPr>
        <w:t xml:space="preserve">• Fase 2: Inicio del Proyecto: </w:t>
      </w:r>
      <w:r>
        <w:rPr>
          <w:rFonts w:ascii="Calibri" w:hAnsi="Calibri"/>
          <w:color w:val="0F172A"/>
          <w:sz w:val="20"/>
        </w:rPr>
        <w:t>Entregables: Project Charter Oficial, Matriz SIPOC Inicial y Asignación RACI. Foco: Delimitación clara del alcance.</w:t>
      </w:r>
    </w:p>
    <w:p>
      <w:pPr>
        <w:spacing w:after="100" w:line="276" w:lineRule="auto"/>
      </w:pPr>
      <w:r>
        <w:rPr>
          <w:rFonts w:ascii="Calibri" w:hAnsi="Calibri"/>
          <w:b/>
          <w:color w:val="0F172A"/>
          <w:sz w:val="20"/>
        </w:rPr>
        <w:t xml:space="preserve">• Fase 3: Planificación Híbrida: </w:t>
      </w:r>
      <w:r>
        <w:rPr>
          <w:rFonts w:ascii="Calibri" w:hAnsi="Calibri"/>
          <w:color w:val="0F172A"/>
          <w:sz w:val="20"/>
        </w:rPr>
        <w:t>Entregables: Diagrama BPMN Multi-Pestaña, Backlog Scrum Técnico 2026 y Matriz de Riesgos. Foco: Arquitectura y estimación.</w:t>
      </w:r>
    </w:p>
    <w:p>
      <w:pPr>
        <w:spacing w:after="100" w:line="276" w:lineRule="auto"/>
      </w:pPr>
      <w:r>
        <w:rPr>
          <w:rFonts w:ascii="Calibri" w:hAnsi="Calibri"/>
          <w:b/>
          <w:color w:val="0F172A"/>
          <w:sz w:val="20"/>
        </w:rPr>
        <w:t xml:space="preserve">• Fase 4: Ejecución Iterativa: </w:t>
      </w:r>
      <w:r>
        <w:rPr>
          <w:rFonts w:ascii="Calibri" w:hAnsi="Calibri"/>
          <w:color w:val="0F172A"/>
          <w:sz w:val="20"/>
        </w:rPr>
        <w:t>Entregables: Manual de Políticas y Procedimientos, Servicios Backend/UI y Daily Logs. Foco: Sprints técnicos de desarrollo y despliegue continuo.</w:t>
      </w:r>
    </w:p>
    <w:p>
      <w:pPr>
        <w:spacing w:after="100" w:line="276" w:lineRule="auto"/>
      </w:pPr>
      <w:r>
        <w:rPr>
          <w:rFonts w:ascii="Calibri" w:hAnsi="Calibri"/>
          <w:b/>
          <w:color w:val="0F172A"/>
          <w:sz w:val="20"/>
        </w:rPr>
        <w:t xml:space="preserve">• Fase 5: Monitoreo y Control: </w:t>
      </w:r>
      <w:r>
        <w:rPr>
          <w:rFonts w:ascii="Calibri" w:hAnsi="Calibri"/>
          <w:color w:val="0F172A"/>
          <w:sz w:val="20"/>
        </w:rPr>
        <w:t>Entregables: Auditoría IA de Calidad (0-100), Reporte de Cumplimiento SLA y Pruebas UAT. Foco: Semáforo del proyecto y gestión de bloqueos.</w:t>
      </w:r>
    </w:p>
    <w:p>
      <w:pPr>
        <w:spacing w:after="100" w:line="276" w:lineRule="auto"/>
      </w:pPr>
      <w:r>
        <w:rPr>
          <w:rFonts w:ascii="Calibri" w:hAnsi="Calibri"/>
          <w:b/>
          <w:color w:val="0F172A"/>
          <w:sz w:val="20"/>
        </w:rPr>
        <w:t xml:space="preserve">• Fase 6: Mejora Continua: </w:t>
      </w:r>
      <w:r>
        <w:rPr>
          <w:rFonts w:ascii="Calibri" w:hAnsi="Calibri"/>
          <w:color w:val="0F172A"/>
          <w:sz w:val="20"/>
        </w:rPr>
        <w:t>Entregables: Plan de Ajustes Kaizen, Encuestas de Satisfacción y Métricas Operativas. Foco: Optimización continua de la suite.</w:t>
      </w:r>
    </w:p>
    <w:p>
      <w:pPr>
        <w:spacing w:after="100" w:line="276" w:lineRule="auto"/>
      </w:pPr>
      <w:r>
        <w:rPr>
          <w:rFonts w:ascii="Calibri" w:hAnsi="Calibri"/>
          <w:b/>
          <w:color w:val="0F172A"/>
          <w:sz w:val="20"/>
        </w:rPr>
        <w:t xml:space="preserve">• Fase 7: Cierre del Proyecto: </w:t>
      </w:r>
      <w:r>
        <w:rPr>
          <w:rFonts w:ascii="Calibri" w:hAnsi="Calibri"/>
          <w:color w:val="0F172A"/>
          <w:sz w:val="20"/>
        </w:rPr>
        <w:t>Entregables: Acta de Cierre Aprobada, Paquete .temis.json Exportado y Lecciones Aprendidas. Foco: Traspaso a operaciones sostenibles.</w:t>
      </w:r>
    </w:p>
    <w:p>
      <w:pPr>
        <w:spacing w:before="280" w:after="120"/>
      </w:pPr>
      <w:r>
        <w:rPr>
          <w:rFonts w:ascii="Calibri" w:hAnsi="Calibri"/>
          <w:b/>
          <w:color w:val="1E3A8A"/>
          <w:sz w:val="28"/>
        </w:rPr>
        <w:t>4. Gestión de Riesgos y Control de Calidad</w:t>
      </w:r>
    </w:p>
    <w:p>
      <w:pPr>
        <w:spacing w:after="100" w:line="276" w:lineRule="auto"/>
      </w:pPr>
      <w:r>
        <w:rPr>
          <w:rFonts w:ascii="Calibri" w:hAnsi="Calibri"/>
          <w:color w:val="0F172A"/>
          <w:sz w:val="20"/>
        </w:rPr>
        <w:t>El marco de trabajo estipula la auditoría continua de procesos a través del motor inteligente de TEMIS, evaluando 4 dimensiones críticas: (1) Integridad de puntos de inicio/fin, (2) Completitud de compuertas de decisión Sí/No, (3) Asignación obligatoria de sistemas (Chronos/ERP) y canales (WhatsApp/Bria), y (4) Trazabilidad de entradas/salidas en la matriz SIPOC.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