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2563EB"/>
          <w:sz w:val="18"/>
        </w:rPr>
        <w:t>TEMIS PROCESS SUITE  |  PLANIFICACIÓN ESTRATÉGICA &amp; CRONOGRAMA</w:t>
      </w:r>
    </w:p>
    <w:p>
      <w:pPr>
        <w:spacing w:after="120"/>
      </w:pPr>
      <w:r>
        <w:rPr>
          <w:rFonts w:ascii="Calibri" w:hAnsi="Calibri"/>
          <w:b/>
          <w:color w:val="1E3A8A"/>
          <w:sz w:val="44"/>
        </w:rPr>
        <w:t>Roadmap Estratégico del Proyecto TEMIS 2026</w:t>
      </w:r>
    </w:p>
    <w:p>
      <w:pPr>
        <w:spacing w:after="360"/>
      </w:pPr>
      <w:r>
        <w:rPr>
          <w:rFonts w:ascii="Calibri" w:hAnsi="Calibri"/>
          <w:i/>
          <w:color w:val="475569"/>
          <w:sz w:val="22"/>
        </w:rPr>
        <w:t>Cronograma integral, 7 fases metodológicas e hitos de evolución tecnológica hacia Web SaaS Cloud.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1E3A8A"/>
                <w:sz w:val="18"/>
              </w:rPr>
              <w:t>Proyecto: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F172A"/>
                <w:sz w:val="18"/>
              </w:rPr>
              <w:t>TEMIS (Process Suite &amp; Governance)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1E3A8A"/>
                <w:sz w:val="18"/>
              </w:rPr>
              <w:t>Periodo: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F172A"/>
                <w:sz w:val="18"/>
              </w:rPr>
              <w:t>Enero 2026 – Diciembre 2026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1E3A8A"/>
                <w:sz w:val="18"/>
              </w:rPr>
              <w:t>Versión: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F172A"/>
                <w:sz w:val="18"/>
              </w:rPr>
              <w:t>1.0 Oficial (Web Cloud SaaS)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1E3A8A"/>
                <w:sz w:val="18"/>
              </w:rPr>
              <w:t>Estado: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F172A"/>
                <w:sz w:val="18"/>
              </w:rPr>
              <w:t>Aprobado / Línea Base</w:t>
            </w:r>
          </w:p>
        </w:tc>
      </w:tr>
    </w:tbl>
    <w:p>
      <w:pPr>
        <w:spacing w:after="240"/>
      </w:pPr>
    </w:p>
    <w:p>
      <w:pPr>
        <w:spacing w:before="280" w:after="120"/>
      </w:pPr>
      <w:r>
        <w:rPr>
          <w:rFonts w:ascii="Calibri" w:hAnsi="Calibri"/>
          <w:b/>
          <w:color w:val="1E3A8A"/>
          <w:sz w:val="28"/>
        </w:rPr>
        <w:t>1. Visión y Objetivos del Roadmap 2026</w:t>
      </w:r>
    </w:p>
    <w:p>
      <w:pPr>
        <w:spacing w:after="100" w:line="276" w:lineRule="auto"/>
      </w:pPr>
      <w:r>
        <w:rPr>
          <w:rFonts w:ascii="Calibri" w:hAnsi="Calibri"/>
          <w:color w:val="0F172A"/>
          <w:sz w:val="20"/>
        </w:rPr>
        <w:t>El Proyecto TEMIS tiene como propósito consolidar una plataforma corporativa soberana e inteligente para el modelado BPMN, estandarización Six Sigma (SIPOC) y gobierno de procesos operativos. Este Roadmap establece el cronograma maestro estructurado a lo largo del ciclo 2026 (16 de Enero de 2026 al 18 de Diciembre de 2026).</w:t>
      </w:r>
    </w:p>
    <w:p>
      <w:pPr>
        <w:spacing w:before="280" w:after="120"/>
      </w:pPr>
      <w:r>
        <w:rPr>
          <w:rFonts w:ascii="Calibri" w:hAnsi="Calibri"/>
          <w:b/>
          <w:color w:val="1E3A8A"/>
          <w:sz w:val="28"/>
        </w:rPr>
        <w:t>2. Matriz de Hitos Clave del Proyecto TEMIS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Fecha / Hito</w:t>
            </w:r>
          </w:p>
        </w:tc>
        <w:tc>
          <w:tcPr>
            <w:tcW w:type="dxa" w:w="2160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Fase Metodológica</w:t>
            </w:r>
          </w:p>
        </w:tc>
        <w:tc>
          <w:tcPr>
            <w:tcW w:type="dxa" w:w="2160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Entregable / Alcance Clave</w:t>
            </w:r>
          </w:p>
        </w:tc>
        <w:tc>
          <w:tcPr>
            <w:tcW w:type="dxa" w:w="2160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Estado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1E3A8A"/>
                <w:sz w:val="18"/>
              </w:rPr>
              <w:t>16 Ene 2026: Planning Kickoff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F1: Diagnóstico Estratégico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Diagnóstico del dolor operativo en Lucidchart/Word y definición de arquitectura inicial.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2563EB"/>
                <w:sz w:val="18"/>
              </w:rPr>
              <w:t>Completado</w:t>
            </w:r>
          </w:p>
        </w:tc>
      </w:tr>
      <w:tr>
        <w:tc>
          <w:tcPr>
            <w:tcW w:type="dxa" w:w="2160"/>
            <w:shd w:fill="F1F5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1E3A8A"/>
                <w:sz w:val="18"/>
              </w:rPr>
              <w:t>15 Feb 2026: Project Charter</w:t>
            </w:r>
          </w:p>
        </w:tc>
        <w:tc>
          <w:tcPr>
            <w:tcW w:type="dxa" w:w="2160"/>
            <w:shd w:fill="F1F5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F2: Inicio del Proyecto</w:t>
            </w:r>
          </w:p>
        </w:tc>
        <w:tc>
          <w:tcPr>
            <w:tcW w:type="dxa" w:w="2160"/>
            <w:shd w:fill="F1F5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Acta Constitutiva, asignación de roles (PM, Sponsor) y delimitación de alcance.</w:t>
            </w:r>
          </w:p>
        </w:tc>
        <w:tc>
          <w:tcPr>
            <w:tcW w:type="dxa" w:w="2160"/>
            <w:shd w:fill="F1F5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2563EB"/>
                <w:sz w:val="18"/>
              </w:rPr>
              <w:t>Completado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1E3A8A"/>
                <w:sz w:val="18"/>
              </w:rPr>
              <w:t>31 Mar 2026: Backlog Scrum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F3: Planificación Híbrida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Backlog Scrum Técnico de 10 Sprints y arquitectura de experiencia.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2563EB"/>
                <w:sz w:val="18"/>
              </w:rPr>
              <w:t>Completado</w:t>
            </w:r>
          </w:p>
        </w:tc>
      </w:tr>
      <w:tr>
        <w:tc>
          <w:tcPr>
            <w:tcW w:type="dxa" w:w="2160"/>
            <w:shd w:fill="F1F5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1E3A8A"/>
                <w:sz w:val="18"/>
              </w:rPr>
              <w:t>01 Jun 2026: Migración Web SaaS</w:t>
            </w:r>
          </w:p>
        </w:tc>
        <w:tc>
          <w:tcPr>
            <w:tcW w:type="dxa" w:w="2160"/>
            <w:shd w:fill="F1F5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F4: Ejecución Iterativa</w:t>
            </w:r>
          </w:p>
        </w:tc>
        <w:tc>
          <w:tcPr>
            <w:tcW w:type="dxa" w:w="2160"/>
            <w:shd w:fill="F1F5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Hito Clave: Reestructuración mayor de App Windows Desktop a Web Cloud (Reflex + FastAPI + Postgres).</w:t>
            </w:r>
          </w:p>
        </w:tc>
        <w:tc>
          <w:tcPr>
            <w:tcW w:type="dxa" w:w="2160"/>
            <w:shd w:fill="F1F5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2563EB"/>
                <w:sz w:val="18"/>
              </w:rPr>
              <w:t>Completado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1E3A8A"/>
                <w:sz w:val="18"/>
              </w:rPr>
              <w:t>15 Sep 2026: Suite 4 Vistas &amp; IA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F4: Ejecución Iterativa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Matriz SIPOC interactiva, generador de flujos Bézier, narrativa Gemini 2.5 Flash y catálogo en Archivo.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2563EB"/>
                <w:sz w:val="18"/>
              </w:rPr>
              <w:t>Completado</w:t>
            </w:r>
          </w:p>
        </w:tc>
      </w:tr>
      <w:tr>
        <w:tc>
          <w:tcPr>
            <w:tcW w:type="dxa" w:w="2160"/>
            <w:shd w:fill="F1F5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1E3A8A"/>
                <w:sz w:val="18"/>
              </w:rPr>
              <w:t>01 Nov 2026: Monitoreo &amp; SA Drive</w:t>
            </w:r>
          </w:p>
        </w:tc>
        <w:tc>
          <w:tcPr>
            <w:tcW w:type="dxa" w:w="2160"/>
            <w:shd w:fill="F1F5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F5/F6: Monitoreo y Mejora</w:t>
            </w:r>
          </w:p>
        </w:tc>
        <w:tc>
          <w:tcPr>
            <w:tcW w:type="dxa" w:w="2160"/>
            <w:shd w:fill="F1F5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Auditor IA de calidad (0-100) y conexión con Service Account de Google Workspace Shared Drive.</w:t>
            </w:r>
          </w:p>
        </w:tc>
        <w:tc>
          <w:tcPr>
            <w:tcW w:type="dxa" w:w="2160"/>
            <w:shd w:fill="F1F5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1E3A8A"/>
                <w:sz w:val="18"/>
              </w:rPr>
              <w:t>En curso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1E3A8A"/>
                <w:sz w:val="18"/>
              </w:rPr>
              <w:t>18 Dic 2026: Cierre Oficial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F7: Cierre del Proyecto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Entrega formal de TEMIS v1.0, informe de lecciones aprendidas y traspaso operativo.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1E3A8A"/>
                <w:sz w:val="18"/>
              </w:rPr>
              <w:t>Programado</w:t>
            </w:r>
          </w:p>
        </w:tc>
      </w:tr>
    </w:tbl>
    <w:p>
      <w:pPr>
        <w:spacing w:before="280" w:after="120"/>
      </w:pPr>
      <w:r>
        <w:rPr>
          <w:rFonts w:ascii="Calibri" w:hAnsi="Calibri"/>
          <w:b/>
          <w:color w:val="1E3A8A"/>
          <w:sz w:val="28"/>
        </w:rPr>
        <w:t>3. Desglose del Cronograma por las 7 Fases Corporativas</w:t>
      </w:r>
    </w:p>
    <w:p>
      <w:pPr>
        <w:spacing w:after="100" w:line="276" w:lineRule="auto"/>
      </w:pPr>
      <w:r>
        <w:rPr>
          <w:rFonts w:ascii="Calibri" w:hAnsi="Calibri"/>
          <w:b/>
          <w:color w:val="0F172A"/>
          <w:sz w:val="20"/>
        </w:rPr>
        <w:t xml:space="preserve">• Fase 1: Diagnóstico Estratégico (Enero): </w:t>
      </w:r>
      <w:r>
        <w:rPr>
          <w:rFonts w:ascii="Calibri" w:hAnsi="Calibri"/>
          <w:color w:val="0F172A"/>
          <w:sz w:val="20"/>
        </w:rPr>
        <w:t>Análisis del dolor en herramientas manuales desconectadas. Mapeo del proceso AS-IS de documentación de diagramas y definición de requerimientos de estandarización.</w:t>
      </w:r>
    </w:p>
    <w:p>
      <w:pPr>
        <w:spacing w:after="100" w:line="276" w:lineRule="auto"/>
      </w:pPr>
      <w:r>
        <w:rPr>
          <w:rFonts w:ascii="Calibri" w:hAnsi="Calibri"/>
          <w:b/>
          <w:color w:val="0F172A"/>
          <w:sz w:val="20"/>
        </w:rPr>
        <w:t xml:space="preserve">• Fase 2: Inicio del Proyecto (Febrero): </w:t>
      </w:r>
      <w:r>
        <w:rPr>
          <w:rFonts w:ascii="Calibri" w:hAnsi="Calibri"/>
          <w:color w:val="0F172A"/>
          <w:sz w:val="20"/>
        </w:rPr>
        <w:t>Publicación del Project Charter formal de TEMIS, aprobación de sponsor ejecutivo y establecimiento de la matriz RACI.</w:t>
      </w:r>
    </w:p>
    <w:p>
      <w:pPr>
        <w:spacing w:after="100" w:line="276" w:lineRule="auto"/>
      </w:pPr>
      <w:r>
        <w:rPr>
          <w:rFonts w:ascii="Calibri" w:hAnsi="Calibri"/>
          <w:b/>
          <w:color w:val="0F172A"/>
          <w:sz w:val="20"/>
        </w:rPr>
        <w:t xml:space="preserve">• Fase 3: Planificación Híbrida (Marzo): </w:t>
      </w:r>
      <w:r>
        <w:rPr>
          <w:rFonts w:ascii="Calibri" w:hAnsi="Calibri"/>
          <w:color w:val="0F172A"/>
          <w:sz w:val="20"/>
        </w:rPr>
        <w:t>Elaboración del Backlog Scrum Técnico 2026 con 47 commits base, especificación de simbología oficial BPMN y cálculo de esfuerzo.</w:t>
      </w:r>
    </w:p>
    <w:p>
      <w:pPr>
        <w:spacing w:after="100" w:line="276" w:lineRule="auto"/>
      </w:pPr>
      <w:r>
        <w:rPr>
          <w:rFonts w:ascii="Calibri" w:hAnsi="Calibri"/>
          <w:b/>
          <w:color w:val="0F172A"/>
          <w:sz w:val="20"/>
        </w:rPr>
        <w:t xml:space="preserve">• Fase 4: Ejecución Iterativa (Abril - Septiembre): </w:t>
      </w:r>
      <w:r>
        <w:rPr>
          <w:rFonts w:ascii="Calibri" w:hAnsi="Calibri"/>
          <w:color w:val="0F172A"/>
          <w:sz w:val="20"/>
        </w:rPr>
        <w:t>Desarrollo iterativo de la plataforma. Destaca la decisión estratégica de migrar de cliente Desktop Windows a arquitectura Web SaaS Full-Stack (Render Cloud), integración del motor SIPOC y Copiloto Gemini 2.5 Flash.</w:t>
      </w:r>
    </w:p>
    <w:p>
      <w:pPr>
        <w:spacing w:after="100" w:line="276" w:lineRule="auto"/>
      </w:pPr>
      <w:r>
        <w:rPr>
          <w:rFonts w:ascii="Calibri" w:hAnsi="Calibri"/>
          <w:b/>
          <w:color w:val="0F172A"/>
          <w:sz w:val="20"/>
        </w:rPr>
        <w:t xml:space="preserve">• Fase 5: Monitoreo y Control (Octubre): </w:t>
      </w:r>
      <w:r>
        <w:rPr>
          <w:rFonts w:ascii="Calibri" w:hAnsi="Calibri"/>
          <w:color w:val="0F172A"/>
          <w:sz w:val="20"/>
        </w:rPr>
        <w:t>Implementación del Auditor de Calidad IA (0-100) para cumplimiento de estándares Six Sigma, pruebas de carga y verificación continua.</w:t>
      </w:r>
    </w:p>
    <w:p>
      <w:pPr>
        <w:spacing w:after="100" w:line="276" w:lineRule="auto"/>
      </w:pPr>
      <w:r>
        <w:rPr>
          <w:rFonts w:ascii="Calibri" w:hAnsi="Calibri"/>
          <w:b/>
          <w:color w:val="0F172A"/>
          <w:sz w:val="20"/>
        </w:rPr>
        <w:t xml:space="preserve">• Fase 6: Mejora Continua (Noviembre): </w:t>
      </w:r>
      <w:r>
        <w:rPr>
          <w:rFonts w:ascii="Calibri" w:hAnsi="Calibri"/>
          <w:color w:val="0F172A"/>
          <w:sz w:val="20"/>
        </w:rPr>
        <w:t>Optimización de rendimiento en nube, refinamiento del catálogo de flujos guardados y automatización de respaldos en Google Workspace Shared Drive con Service Account.</w:t>
      </w:r>
    </w:p>
    <w:p>
      <w:pPr>
        <w:spacing w:after="100" w:line="276" w:lineRule="auto"/>
      </w:pPr>
      <w:r>
        <w:rPr>
          <w:rFonts w:ascii="Calibri" w:hAnsi="Calibri"/>
          <w:b/>
          <w:color w:val="0F172A"/>
          <w:sz w:val="20"/>
        </w:rPr>
        <w:t xml:space="preserve">• Fase 7: Cierre del Proyecto (Diciembre): </w:t>
      </w:r>
      <w:r>
        <w:rPr>
          <w:rFonts w:ascii="Calibri" w:hAnsi="Calibri"/>
          <w:color w:val="0F172A"/>
          <w:sz w:val="20"/>
        </w:rPr>
        <w:t>Evaluación de valor entregado, acta de cierre formal, paquete de exportación de proyectos y lecciones aprendidas.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