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563EB"/>
          <w:sz w:val="18"/>
        </w:rPr>
        <w:t>TEMIS PROCESS SUITE  |  INFORME DIAGNÓSTICO &amp; ANÁLISIS DE EFICIENCIA OPERATIVA</w:t>
      </w:r>
    </w:p>
    <w:p>
      <w:pPr>
        <w:spacing w:after="80"/>
      </w:pPr>
      <w:r>
        <w:rPr>
          <w:rFonts w:ascii="Calibri" w:hAnsi="Calibri"/>
          <w:b/>
          <w:color w:val="1E3A8A"/>
          <w:sz w:val="40"/>
        </w:rPr>
        <w:t>Informe Diagnóstico General y Análisis de Procesos — Proyecto TEMIS</w:t>
      </w:r>
    </w:p>
    <w:p>
      <w:pPr>
        <w:spacing w:after="280"/>
      </w:pPr>
      <w:r>
        <w:rPr>
          <w:rFonts w:ascii="Calibri" w:hAnsi="Calibri"/>
          <w:i/>
          <w:color w:val="475569"/>
          <w:sz w:val="21"/>
        </w:rPr>
        <w:t>Evaluación del Estado Actual (AS-IS) de Modelado y Documentación de Procesos vs Solución Objetivo (TO-BE) de la Suite TEMIS.</w:t>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shd w:fill="F1F5F9"/>
            <w:tcMar>
              <w:top w:w="70" w:type="dxa"/>
              <w:bottom w:w="70" w:type="dxa"/>
              <w:left w:w="90" w:type="dxa"/>
              <w:right w:w="90" w:type="dxa"/>
            </w:tcMar>
          </w:tcPr>
          <w:p>
            <w:r>
              <w:rPr>
                <w:rFonts w:ascii="Calibri" w:hAnsi="Calibri"/>
                <w:b/>
                <w:color w:val="1E3A8A"/>
                <w:sz w:val="17"/>
              </w:rPr>
              <w:t>Iniciativa:</w:t>
            </w:r>
          </w:p>
        </w:tc>
        <w:tc>
          <w:tcPr>
            <w:tcW w:type="dxa" w:w="2160"/>
            <w:shd w:fill="FFFFFF"/>
            <w:tcMar>
              <w:top w:w="70" w:type="dxa"/>
              <w:bottom w:w="70" w:type="dxa"/>
              <w:left w:w="90" w:type="dxa"/>
              <w:right w:w="90" w:type="dxa"/>
            </w:tcMar>
          </w:tcPr>
          <w:p>
            <w:r>
              <w:rPr>
                <w:rFonts w:ascii="Calibri" w:hAnsi="Calibri"/>
                <w:color w:val="0F172A"/>
                <w:sz w:val="17"/>
              </w:rPr>
              <w:t>Proyecto TEMIS (BPMN Suite &amp; Governance)</w:t>
            </w:r>
          </w:p>
        </w:tc>
        <w:tc>
          <w:tcPr>
            <w:tcW w:type="dxa" w:w="2160"/>
            <w:shd w:fill="F1F5F9"/>
            <w:tcMar>
              <w:top w:w="70" w:type="dxa"/>
              <w:bottom w:w="70" w:type="dxa"/>
              <w:left w:w="90" w:type="dxa"/>
              <w:right w:w="90" w:type="dxa"/>
            </w:tcMar>
          </w:tcPr>
          <w:p>
            <w:r>
              <w:rPr>
                <w:rFonts w:ascii="Calibri" w:hAnsi="Calibri"/>
                <w:b/>
                <w:color w:val="1E3A8A"/>
                <w:sz w:val="17"/>
              </w:rPr>
              <w:t>Código:</w:t>
            </w:r>
          </w:p>
        </w:tc>
        <w:tc>
          <w:tcPr>
            <w:tcW w:type="dxa" w:w="2160"/>
            <w:shd w:fill="FFFFFF"/>
            <w:tcMar>
              <w:top w:w="70" w:type="dxa"/>
              <w:bottom w:w="70" w:type="dxa"/>
              <w:left w:w="90" w:type="dxa"/>
              <w:right w:w="90" w:type="dxa"/>
            </w:tcMar>
          </w:tcPr>
          <w:p>
            <w:r>
              <w:rPr>
                <w:rFonts w:ascii="Calibri" w:hAnsi="Calibri"/>
                <w:color w:val="0F172A"/>
                <w:sz w:val="17"/>
              </w:rPr>
              <w:t>TEMIS-GOV-2026-V1</w:t>
            </w:r>
          </w:p>
        </w:tc>
      </w:tr>
      <w:tr>
        <w:tc>
          <w:tcPr>
            <w:tcW w:type="dxa" w:w="2160"/>
            <w:shd w:fill="F1F5F9"/>
            <w:tcMar>
              <w:top w:w="70" w:type="dxa"/>
              <w:bottom w:w="70" w:type="dxa"/>
              <w:left w:w="90" w:type="dxa"/>
              <w:right w:w="90" w:type="dxa"/>
            </w:tcMar>
          </w:tcPr>
          <w:p>
            <w:r>
              <w:rPr>
                <w:rFonts w:ascii="Calibri" w:hAnsi="Calibri"/>
                <w:b/>
                <w:color w:val="1E3A8A"/>
                <w:sz w:val="17"/>
              </w:rPr>
              <w:t>Sponsor:</w:t>
            </w:r>
          </w:p>
        </w:tc>
        <w:tc>
          <w:tcPr>
            <w:tcW w:type="dxa" w:w="2160"/>
            <w:shd w:fill="FFFFFF"/>
            <w:tcMar>
              <w:top w:w="70" w:type="dxa"/>
              <w:bottom w:w="70" w:type="dxa"/>
              <w:left w:w="90" w:type="dxa"/>
              <w:right w:w="90" w:type="dxa"/>
            </w:tcMar>
          </w:tcPr>
          <w:p>
            <w:r>
              <w:rPr>
                <w:rFonts w:ascii="Calibri" w:hAnsi="Calibri"/>
                <w:color w:val="0F172A"/>
                <w:sz w:val="17"/>
              </w:rPr>
              <w:t>Dirección de Operaciones &amp; Tecnología</w:t>
            </w:r>
          </w:p>
        </w:tc>
        <w:tc>
          <w:tcPr>
            <w:tcW w:type="dxa" w:w="2160"/>
            <w:shd w:fill="F1F5F9"/>
            <w:tcMar>
              <w:top w:w="70" w:type="dxa"/>
              <w:bottom w:w="70" w:type="dxa"/>
              <w:left w:w="90" w:type="dxa"/>
              <w:right w:w="90" w:type="dxa"/>
            </w:tcMar>
          </w:tcPr>
          <w:p>
            <w:r>
              <w:rPr>
                <w:rFonts w:ascii="Calibri" w:hAnsi="Calibri"/>
                <w:b/>
                <w:color w:val="1E3A8A"/>
                <w:sz w:val="17"/>
              </w:rPr>
              <w:t>Project Lead:</w:t>
            </w:r>
          </w:p>
        </w:tc>
        <w:tc>
          <w:tcPr>
            <w:tcW w:type="dxa" w:w="2160"/>
            <w:shd w:fill="FFFFFF"/>
            <w:tcMar>
              <w:top w:w="70" w:type="dxa"/>
              <w:bottom w:w="70" w:type="dxa"/>
              <w:left w:w="90" w:type="dxa"/>
              <w:right w:w="90" w:type="dxa"/>
            </w:tcMar>
          </w:tcPr>
          <w:p>
            <w:r>
              <w:rPr>
                <w:rFonts w:ascii="Calibri" w:hAnsi="Calibri"/>
                <w:color w:val="0F172A"/>
                <w:sz w:val="17"/>
              </w:rPr>
              <w:t>Ing. Mario Hurtado</w:t>
            </w:r>
          </w:p>
        </w:tc>
      </w:tr>
      <w:tr>
        <w:tc>
          <w:tcPr>
            <w:tcW w:type="dxa" w:w="2160"/>
            <w:shd w:fill="F1F5F9"/>
            <w:tcMar>
              <w:top w:w="70" w:type="dxa"/>
              <w:bottom w:w="70" w:type="dxa"/>
              <w:left w:w="90" w:type="dxa"/>
              <w:right w:w="90" w:type="dxa"/>
            </w:tcMar>
          </w:tcPr>
          <w:p>
            <w:r>
              <w:rPr>
                <w:rFonts w:ascii="Calibri" w:hAnsi="Calibri"/>
                <w:b/>
                <w:color w:val="1E3A8A"/>
                <w:sz w:val="17"/>
              </w:rPr>
              <w:t>Periodo Oficial:</w:t>
            </w:r>
          </w:p>
        </w:tc>
        <w:tc>
          <w:tcPr>
            <w:tcW w:type="dxa" w:w="2160"/>
            <w:shd w:fill="FFFFFF"/>
            <w:tcMar>
              <w:top w:w="70" w:type="dxa"/>
              <w:bottom w:w="70" w:type="dxa"/>
              <w:left w:w="90" w:type="dxa"/>
              <w:right w:w="90" w:type="dxa"/>
            </w:tcMar>
          </w:tcPr>
          <w:p>
            <w:r>
              <w:rPr>
                <w:rFonts w:ascii="Calibri" w:hAnsi="Calibri"/>
                <w:color w:val="0F172A"/>
                <w:sz w:val="17"/>
              </w:rPr>
              <w:t>16 Ene 2026 – 04 Dic 2026</w:t>
            </w:r>
          </w:p>
        </w:tc>
        <w:tc>
          <w:tcPr>
            <w:tcW w:type="dxa" w:w="2160"/>
            <w:shd w:fill="F1F5F9"/>
            <w:tcMar>
              <w:top w:w="70" w:type="dxa"/>
              <w:bottom w:w="70" w:type="dxa"/>
              <w:left w:w="90" w:type="dxa"/>
              <w:right w:w="90" w:type="dxa"/>
            </w:tcMar>
          </w:tcPr>
          <w:p>
            <w:r>
              <w:rPr>
                <w:rFonts w:ascii="Calibri" w:hAnsi="Calibri"/>
                <w:b/>
                <w:color w:val="1E3A8A"/>
                <w:sz w:val="17"/>
              </w:rPr>
              <w:t>Estatus:</w:t>
            </w:r>
          </w:p>
        </w:tc>
        <w:tc>
          <w:tcPr>
            <w:tcW w:type="dxa" w:w="2160"/>
            <w:shd w:fill="FFFFFF"/>
            <w:tcMar>
              <w:top w:w="70" w:type="dxa"/>
              <w:bottom w:w="70" w:type="dxa"/>
              <w:left w:w="90" w:type="dxa"/>
              <w:right w:w="90" w:type="dxa"/>
            </w:tcMar>
          </w:tcPr>
          <w:p>
            <w:r>
              <w:rPr>
                <w:rFonts w:ascii="Calibri" w:hAnsi="Calibri"/>
                <w:color w:val="0F172A"/>
                <w:sz w:val="17"/>
              </w:rPr>
              <w:t>Línea Base Oficial Aprobada</w:t>
            </w:r>
          </w:p>
        </w:tc>
      </w:tr>
    </w:tbl>
    <w:p>
      <w:pPr>
        <w:spacing w:after="200"/>
      </w:pPr>
    </w:p>
    <w:p>
      <w:pPr>
        <w:spacing w:before="280" w:after="100"/>
      </w:pPr>
      <w:r>
        <w:rPr>
          <w:rFonts w:ascii="Calibri" w:hAnsi="Calibri"/>
          <w:b/>
          <w:color w:val="1E3A8A"/>
          <w:sz w:val="26"/>
        </w:rPr>
        <w:t>1. Introducción y Contexto Estratégico</w:t>
      </w:r>
    </w:p>
    <w:p>
      <w:pPr>
        <w:spacing w:after="80" w:line="276" w:lineRule="auto"/>
      </w:pPr>
      <w:r>
        <w:rPr>
          <w:rFonts w:ascii="Calibri" w:hAnsi="Calibri"/>
          <w:color w:val="0F172A"/>
          <w:sz w:val="19"/>
        </w:rPr>
        <w:t>En el marco de la transformación digital y optimización continua de operaciones en Maxi Send / Ecosistema Orbi, el Departamento de Innovación y Procesos llevó a cabo una exhaustiva auditoría diagnóstica sobre las prácticas, herramientas y flujos de trabajo empleados para el levantamiento, diagramación y documentación de políticas y procedimientos corporativos.</w:t>
      </w:r>
    </w:p>
    <w:p>
      <w:pPr>
        <w:spacing w:after="80" w:line="276" w:lineRule="auto"/>
      </w:pPr>
      <w:r>
        <w:rPr>
          <w:rFonts w:ascii="Calibri" w:hAnsi="Calibri"/>
          <w:color w:val="0F172A"/>
          <w:sz w:val="19"/>
        </w:rPr>
        <w:t>El detonante principal de esta iniciativa radica en la insostenibilidad financiera y operativa de mantener licencias SaaS comerciales de terceros (específicamente Lucidchart de Lucid Software Inc.), las cuales representan un costo recurrente en dólares por usuario sin ofrecer integración con los sistemas internos de la empresa (Chronos, Freshdesk, Bria, WhatsApp), ni sincronización automática con los manuales de procedimientos exigidos por auditoría y cumplimiento.</w:t>
      </w:r>
    </w:p>
    <w:p>
      <w:pPr>
        <w:spacing w:after="80" w:line="276" w:lineRule="auto"/>
      </w:pPr>
      <w:r>
        <w:rPr>
          <w:rFonts w:ascii="Calibri" w:hAnsi="Calibri"/>
          <w:color w:val="0F172A"/>
          <w:sz w:val="19"/>
        </w:rPr>
        <w:t>El presente informe sintetiza los hallazgos del estado actual (AS-IS), cuantifica los puntos de dolor que afectan la productividad de los analistas y define la arquitectura de la solución soberana TEMIS (TO-BE).</w:t>
      </w:r>
    </w:p>
    <w:p>
      <w:pPr>
        <w:spacing w:before="280" w:after="100"/>
      </w:pPr>
      <w:r>
        <w:rPr>
          <w:rFonts w:ascii="Calibri" w:hAnsi="Calibri"/>
          <w:b/>
          <w:color w:val="1E3A8A"/>
          <w:sz w:val="26"/>
        </w:rPr>
        <w:t>2. Diagnóstico del Estado Actual (AS-IS) y Puntos de Dolor (Pain Points)</w:t>
      </w:r>
    </w:p>
    <w:p>
      <w:pPr>
        <w:spacing w:after="80" w:line="276" w:lineRule="auto"/>
      </w:pPr>
      <w:r>
        <w:rPr>
          <w:rFonts w:ascii="Calibri" w:hAnsi="Calibri"/>
          <w:color w:val="0F172A"/>
          <w:sz w:val="19"/>
        </w:rPr>
        <w:t>A partir de sesiones de trabajo con analistas de procesos, auditores y líderes de operaciones, se identificaron 6 puntos de dolor críticos:</w:t>
      </w:r>
    </w:p>
    <w:p>
      <w:pPr>
        <w:spacing w:after="80" w:line="276" w:lineRule="auto"/>
      </w:pPr>
      <w:r>
        <w:rPr>
          <w:rFonts w:ascii="Calibri" w:hAnsi="Calibri"/>
          <w:b/>
          <w:color w:val="0F172A"/>
          <w:sz w:val="19"/>
        </w:rPr>
        <w:t xml:space="preserve">• Pain Point 1: Drenaje Financiero por Licenciamiento SaaS de Lucidchart: </w:t>
      </w:r>
      <w:r>
        <w:rPr>
          <w:rFonts w:ascii="Calibri" w:hAnsi="Calibri"/>
          <w:color w:val="0F172A"/>
          <w:sz w:val="19"/>
        </w:rPr>
        <w:t>La organización erogaba pagos recurrentes anuales por licencias 'per-seat' de Lucidchart. Al ser una herramienta genérica, gran parte de las cuentas se mantenían subutilizadas o se requerían compras adicionales para nuevos analistas, elevando el costo total de propiedad (TCO) sin generar propiedad intelectual interna.</w:t>
      </w:r>
    </w:p>
    <w:p>
      <w:pPr>
        <w:spacing w:after="80" w:line="276" w:lineRule="auto"/>
      </w:pPr>
      <w:r>
        <w:rPr>
          <w:rFonts w:ascii="Calibri" w:hAnsi="Calibri"/>
          <w:b/>
          <w:color w:val="0F172A"/>
          <w:sz w:val="19"/>
        </w:rPr>
        <w:t xml:space="preserve">• Pain Point 2: Ruptura Operativa y Retrabajo Extremo entre Diagramas y Word: </w:t>
      </w:r>
      <w:r>
        <w:rPr>
          <w:rFonts w:ascii="Calibri" w:hAnsi="Calibri"/>
          <w:color w:val="0F172A"/>
          <w:sz w:val="19"/>
        </w:rPr>
        <w:t>El analista dibuja un diagrama de flujo en Lucidchart o Visio y posteriormente tiene que 'volver a redactar' manualmente un documento en Microsoft Word de 15 a 30 páginas para explicar cada paso. Este proceso desconectado consume entre 20 y 40 horas por proceso y genera graves discrepancias entre lo que dice el diagrama y lo que dice el manual.</w:t>
      </w:r>
    </w:p>
    <w:p>
      <w:pPr>
        <w:spacing w:after="80" w:line="276" w:lineRule="auto"/>
      </w:pPr>
      <w:r>
        <w:rPr>
          <w:rFonts w:ascii="Calibri" w:hAnsi="Calibri"/>
          <w:b/>
          <w:color w:val="0F172A"/>
          <w:sz w:val="19"/>
        </w:rPr>
        <w:t xml:space="preserve">• Pain Point 3: Falta de Estandarización en Simbología y Metadatos de Sistemas: </w:t>
      </w:r>
      <w:r>
        <w:rPr>
          <w:rFonts w:ascii="Calibri" w:hAnsi="Calibri"/>
          <w:color w:val="0F172A"/>
          <w:sz w:val="19"/>
        </w:rPr>
        <w:t>Cada analista empleaba estilos, colores y formas arbitrarias. En los diagramas no se especificaba con precisión técnica en qué sistema de software se realizaba la acción (ej. Chronos, Freshdesk) ni por qué canal de comunicación (ej. WhatsApp, Bria, Correo), provocando confusiones operativas en los usuarios finales.</w:t>
      </w:r>
    </w:p>
    <w:p>
      <w:pPr>
        <w:spacing w:after="80" w:line="276" w:lineRule="auto"/>
      </w:pPr>
      <w:r>
        <w:rPr>
          <w:rFonts w:ascii="Calibri" w:hAnsi="Calibri"/>
          <w:b/>
          <w:color w:val="0F172A"/>
          <w:sz w:val="19"/>
        </w:rPr>
        <w:t xml:space="preserve">• Pain Point 4: Barrera de Entrada y Complejidad para Analistas de Negocio: </w:t>
      </w:r>
      <w:r>
        <w:rPr>
          <w:rFonts w:ascii="Calibri" w:hAnsi="Calibri"/>
          <w:color w:val="0F172A"/>
          <w:sz w:val="19"/>
        </w:rPr>
        <w:t>Construir un flujo complejo directamente en un lienzo gráfico en blanco requiere habilidades avanzadas de diseño. Los analistas de negocio prefieren capturar la información en tablas estructuradas (SIPOC), pero carecían de una herramienta que convirtiera esa tabla en un diagrama formal en 1 clic.</w:t>
      </w:r>
    </w:p>
    <w:p>
      <w:pPr>
        <w:spacing w:after="80" w:line="276" w:lineRule="auto"/>
      </w:pPr>
      <w:r>
        <w:rPr>
          <w:rFonts w:ascii="Calibri" w:hAnsi="Calibri"/>
          <w:b/>
          <w:color w:val="0F172A"/>
          <w:sz w:val="19"/>
        </w:rPr>
        <w:t xml:space="preserve">• Pain Point 5: Ausencia de Control de Calidad y Riesgo de Procesos Inconclusos: </w:t>
      </w:r>
      <w:r>
        <w:rPr>
          <w:rFonts w:ascii="Calibri" w:hAnsi="Calibri"/>
          <w:color w:val="0F172A"/>
          <w:sz w:val="19"/>
        </w:rPr>
        <w:t>En las herramientas tradicionales no existe validación lógica. Con frecuencia, los diagramas aprobados contenían compuertas de decisión (rombos) sin rama de salida 'No', actividades huérfanas o procesos sin punto final, los cuales no eran descubiertos hasta auditorías regulatorias o fallas operativas.</w:t>
      </w:r>
    </w:p>
    <w:p>
      <w:pPr>
        <w:spacing w:after="80" w:line="276" w:lineRule="auto"/>
      </w:pPr>
      <w:r>
        <w:rPr>
          <w:rFonts w:ascii="Calibri" w:hAnsi="Calibri"/>
          <w:b/>
          <w:color w:val="0F172A"/>
          <w:sz w:val="19"/>
        </w:rPr>
        <w:t xml:space="preserve">• Pain Point 6: Fragmentación Documental y Falta de Repositorio Central: </w:t>
      </w:r>
      <w:r>
        <w:rPr>
          <w:rFonts w:ascii="Calibri" w:hAnsi="Calibri"/>
          <w:color w:val="0F172A"/>
          <w:sz w:val="19"/>
        </w:rPr>
        <w:t>Los archivos de diagramas (`.lucid`, `.vsdx`, `.drawio`) quedaban dispersos en carpetas locales o cuentas personales de diseñadores, impidiendo un control centralizado de versiones y dificultando el respaldo corporativo en Google Workspace Shared Drive.</w:t>
      </w:r>
    </w:p>
    <w:p>
      <w:pPr>
        <w:spacing w:before="280" w:after="100"/>
      </w:pPr>
      <w:r>
        <w:rPr>
          <w:rFonts w:ascii="Calibri" w:hAnsi="Calibri"/>
          <w:b/>
          <w:color w:val="1E3A8A"/>
          <w:sz w:val="26"/>
        </w:rPr>
        <w:t>3. Perfiles de Usuario Afectados (Personas de Procesos)</w:t>
      </w:r>
    </w:p>
    <w:p>
      <w:pPr>
        <w:spacing w:after="80" w:line="276" w:lineRule="auto"/>
      </w:pPr>
      <w:r>
        <w:rPr>
          <w:rFonts w:ascii="Calibri" w:hAnsi="Calibri"/>
          <w:b/>
          <w:color w:val="0F172A"/>
          <w:sz w:val="19"/>
        </w:rPr>
        <w:t xml:space="preserve">• Perfil A: Analista de Procesos y Métodos: </w:t>
      </w:r>
      <w:r>
        <w:rPr>
          <w:rFonts w:ascii="Calibri" w:hAnsi="Calibri"/>
          <w:color w:val="0F172A"/>
          <w:sz w:val="19"/>
        </w:rPr>
        <w:t>Profesional responsable de mapear la operación. Dolor: Pasa el 70% de su tiempo formateando cajas en herramientas gráficas y redactando textos repetitivos en Word.</w:t>
      </w:r>
    </w:p>
    <w:p>
      <w:pPr>
        <w:spacing w:after="80" w:line="276" w:lineRule="auto"/>
      </w:pPr>
      <w:r>
        <w:rPr>
          <w:rFonts w:ascii="Calibri" w:hAnsi="Calibri"/>
          <w:b/>
          <w:color w:val="0F172A"/>
          <w:sz w:val="19"/>
        </w:rPr>
        <w:t xml:space="preserve">• Perfil B: Líder de Operaciones y Dueño de Proceso (PM/PO): </w:t>
      </w:r>
      <w:r>
        <w:rPr>
          <w:rFonts w:ascii="Calibri" w:hAnsi="Calibri"/>
          <w:color w:val="0F172A"/>
          <w:sz w:val="19"/>
        </w:rPr>
        <w:t>Responsable de la eficiencia de su área. Dolor: Falta de visibilidad sobre los sistemas que soportan cada paso del flujo y demoras de semanas en recibir un manual actualizado.</w:t>
      </w:r>
    </w:p>
    <w:p>
      <w:pPr>
        <w:spacing w:after="80" w:line="276" w:lineRule="auto"/>
      </w:pPr>
      <w:r>
        <w:rPr>
          <w:rFonts w:ascii="Calibri" w:hAnsi="Calibri"/>
          <w:b/>
          <w:color w:val="0F172A"/>
          <w:sz w:val="19"/>
        </w:rPr>
        <w:t xml:space="preserve">• Perfil C: Auditor de Calidad y Cumplimiento: </w:t>
      </w:r>
      <w:r>
        <w:rPr>
          <w:rFonts w:ascii="Calibri" w:hAnsi="Calibri"/>
          <w:color w:val="0F172A"/>
          <w:sz w:val="19"/>
        </w:rPr>
        <w:t>Encargado de vigilar el apego normativo. Dolor: Dificultad para auditar manualmente diagramas gigantescos y encontrar caminos ciegos o inconsistencias lógicas.</w:t>
      </w:r>
    </w:p>
    <w:p>
      <w:pPr>
        <w:spacing w:after="80" w:line="276" w:lineRule="auto"/>
      </w:pPr>
      <w:r>
        <w:rPr>
          <w:rFonts w:ascii="Calibri" w:hAnsi="Calibri"/>
          <w:b/>
          <w:color w:val="0F172A"/>
          <w:sz w:val="19"/>
        </w:rPr>
        <w:t xml:space="preserve">• Perfil D: Asesor de Operaciones / Usuario Final: </w:t>
      </w:r>
      <w:r>
        <w:rPr>
          <w:rFonts w:ascii="Calibri" w:hAnsi="Calibri"/>
          <w:color w:val="0F172A"/>
          <w:sz w:val="19"/>
        </w:rPr>
        <w:t>Ejecuta la tarea en ventanilla o atención al cliente. Dolor: Recibe procedimientos desactualizados o diagramas confusos que no indican qué pantalla de Chronos abrir.</w:t>
      </w:r>
    </w:p>
    <w:p>
      <w:pPr>
        <w:spacing w:before="280" w:after="100"/>
      </w:pPr>
      <w:r>
        <w:rPr>
          <w:rFonts w:ascii="Calibri" w:hAnsi="Calibri"/>
          <w:b/>
          <w:color w:val="1E3A8A"/>
          <w:sz w:val="26"/>
        </w:rPr>
        <w:t>4. Mapa de Experiencia Actual (Customer Journey Map de Documentación)</w:t>
      </w:r>
    </w:p>
    <w:p>
      <w:pPr>
        <w:spacing w:after="80" w:line="276" w:lineRule="auto"/>
      </w:pPr>
      <w:r>
        <w:rPr>
          <w:rFonts w:ascii="Calibri" w:hAnsi="Calibri"/>
          <w:color w:val="0F172A"/>
          <w:sz w:val="19"/>
        </w:rPr>
        <w:t>Análisis de las 6 etapas del ciclo de vida de un proceso bajo el modelo tradicional (AS-IS):</w:t>
      </w:r>
    </w:p>
    <w:tbl>
      <w:tblPr>
        <w:tblW w:type="auto" w:w="0"/>
        <w:jc w:val="center"/>
        <w:tblLayout w:type="fixed"/>
        <w:tblLook w:firstColumn="1" w:firstRow="1" w:lastColumn="0" w:lastRow="0" w:noHBand="0" w:noVBand="1" w:val="04A0"/>
      </w:tblPr>
      <w:tblGrid>
        <w:gridCol w:w="1440"/>
        <w:gridCol w:w="1440"/>
        <w:gridCol w:w="1440"/>
        <w:gridCol w:w="1440"/>
        <w:gridCol w:w="1440"/>
        <w:gridCol w:w="1440"/>
      </w:tblGrid>
      <w:tr>
        <w:tc>
          <w:tcPr>
            <w:tcW w:type="dxa" w:w="1872"/>
            <w:shd w:fill="1E3A8A"/>
            <w:tcMar>
              <w:top w:w="90" w:type="dxa"/>
              <w:bottom w:w="90" w:type="dxa"/>
              <w:left w:w="100" w:type="dxa"/>
              <w:right w:w="100" w:type="dxa"/>
            </w:tcMar>
          </w:tcPr>
          <w:p>
            <w:r>
              <w:rPr>
                <w:rFonts w:ascii="Calibri" w:hAnsi="Calibri"/>
                <w:b/>
                <w:color w:val="FFFFFF"/>
                <w:sz w:val="18"/>
              </w:rPr>
              <w:t>Etapa del Proceso</w:t>
            </w:r>
          </w:p>
        </w:tc>
        <w:tc>
          <w:tcPr>
            <w:tcW w:type="dxa" w:w="2016"/>
            <w:shd w:fill="1E3A8A"/>
            <w:tcMar>
              <w:top w:w="90" w:type="dxa"/>
              <w:bottom w:w="90" w:type="dxa"/>
              <w:left w:w="100" w:type="dxa"/>
              <w:right w:w="100" w:type="dxa"/>
            </w:tcMar>
          </w:tcPr>
          <w:p>
            <w:r>
              <w:rPr>
                <w:rFonts w:ascii="Calibri" w:hAnsi="Calibri"/>
                <w:b/>
                <w:color w:val="FFFFFF"/>
                <w:sz w:val="18"/>
              </w:rPr>
              <w:t>Objetivo del Usuario</w:t>
            </w:r>
          </w:p>
        </w:tc>
        <w:tc>
          <w:tcPr>
            <w:tcW w:type="dxa" w:w="2016"/>
            <w:shd w:fill="1E3A8A"/>
            <w:tcMar>
              <w:top w:w="90" w:type="dxa"/>
              <w:bottom w:w="90" w:type="dxa"/>
              <w:left w:w="100" w:type="dxa"/>
              <w:right w:w="100" w:type="dxa"/>
            </w:tcMar>
          </w:tcPr>
          <w:p>
            <w:r>
              <w:rPr>
                <w:rFonts w:ascii="Calibri" w:hAnsi="Calibri"/>
                <w:b/>
                <w:color w:val="FFFFFF"/>
                <w:sz w:val="18"/>
              </w:rPr>
              <w:t>Acción Realizada (AS-IS)</w:t>
            </w:r>
          </w:p>
        </w:tc>
        <w:tc>
          <w:tcPr>
            <w:tcW w:type="dxa" w:w="1584"/>
            <w:shd w:fill="1E3A8A"/>
            <w:tcMar>
              <w:top w:w="90" w:type="dxa"/>
              <w:bottom w:w="90" w:type="dxa"/>
              <w:left w:w="100" w:type="dxa"/>
              <w:right w:w="100" w:type="dxa"/>
            </w:tcMar>
          </w:tcPr>
          <w:p>
            <w:r>
              <w:rPr>
                <w:rFonts w:ascii="Calibri" w:hAnsi="Calibri"/>
                <w:b/>
                <w:color w:val="FFFFFF"/>
                <w:sz w:val="18"/>
              </w:rPr>
              <w:t>Punto de Contacto</w:t>
            </w:r>
          </w:p>
        </w:tc>
        <w:tc>
          <w:tcPr>
            <w:tcW w:type="dxa" w:w="1584"/>
            <w:shd w:fill="1E3A8A"/>
            <w:tcMar>
              <w:top w:w="90" w:type="dxa"/>
              <w:bottom w:w="90" w:type="dxa"/>
              <w:left w:w="100" w:type="dxa"/>
              <w:right w:w="100" w:type="dxa"/>
            </w:tcMar>
          </w:tcPr>
          <w:p>
            <w:r>
              <w:rPr>
                <w:rFonts w:ascii="Calibri" w:hAnsi="Calibri"/>
                <w:b/>
                <w:color w:val="FFFFFF"/>
                <w:sz w:val="18"/>
              </w:rPr>
              <w:t>Nivel de Fricción</w:t>
            </w:r>
          </w:p>
        </w:tc>
        <w:tc>
          <w:tcPr>
            <w:tcW w:type="dxa" w:w="2016"/>
            <w:shd w:fill="1E3A8A"/>
            <w:tcMar>
              <w:top w:w="90" w:type="dxa"/>
              <w:bottom w:w="90" w:type="dxa"/>
              <w:left w:w="100" w:type="dxa"/>
              <w:right w:w="100" w:type="dxa"/>
            </w:tcMar>
          </w:tcPr>
          <w:p>
            <w:r>
              <w:rPr>
                <w:rFonts w:ascii="Calibri" w:hAnsi="Calibri"/>
                <w:b/>
                <w:color w:val="FFFFFF"/>
                <w:sz w:val="18"/>
              </w:rPr>
              <w:t>Oportunidad TEMIS</w:t>
            </w:r>
          </w:p>
        </w:tc>
      </w:tr>
      <w:tr>
        <w:tc>
          <w:tcPr>
            <w:tcW w:type="dxa" w:w="1872"/>
            <w:shd w:fill="FFFFFF"/>
            <w:tcMar>
              <w:top w:w="70" w:type="dxa"/>
              <w:bottom w:w="70" w:type="dxa"/>
              <w:left w:w="90" w:type="dxa"/>
              <w:right w:w="90" w:type="dxa"/>
            </w:tcMar>
          </w:tcPr>
          <w:p>
            <w:r>
              <w:rPr>
                <w:rFonts w:ascii="Calibri" w:hAnsi="Calibri"/>
                <w:b/>
                <w:color w:val="1E3A8A"/>
                <w:sz w:val="17"/>
              </w:rPr>
              <w:t>1. Captura de Requerimientos</w:t>
            </w:r>
          </w:p>
        </w:tc>
        <w:tc>
          <w:tcPr>
            <w:tcW w:type="dxa" w:w="2016"/>
            <w:shd w:fill="FFFFFF"/>
            <w:tcMar>
              <w:top w:w="70" w:type="dxa"/>
              <w:bottom w:w="70" w:type="dxa"/>
              <w:left w:w="90" w:type="dxa"/>
              <w:right w:w="90" w:type="dxa"/>
            </w:tcMar>
          </w:tcPr>
          <w:p>
            <w:r>
              <w:rPr>
                <w:rFonts w:ascii="Calibri" w:hAnsi="Calibri"/>
                <w:color w:val="0F172A"/>
                <w:sz w:val="17"/>
              </w:rPr>
              <w:t>Recopilar pasos del proceso con el área operativa.</w:t>
            </w:r>
          </w:p>
        </w:tc>
        <w:tc>
          <w:tcPr>
            <w:tcW w:type="dxa" w:w="2016"/>
            <w:shd w:fill="FFFFFF"/>
            <w:tcMar>
              <w:top w:w="70" w:type="dxa"/>
              <w:bottom w:w="70" w:type="dxa"/>
              <w:left w:w="90" w:type="dxa"/>
              <w:right w:w="90" w:type="dxa"/>
            </w:tcMar>
          </w:tcPr>
          <w:p>
            <w:r>
              <w:rPr>
                <w:rFonts w:ascii="Calibri" w:hAnsi="Calibri"/>
                <w:color w:val="0F172A"/>
                <w:sz w:val="17"/>
              </w:rPr>
              <w:t>Entrevistas y notas en Excel o blocs de notas.</w:t>
            </w:r>
          </w:p>
        </w:tc>
        <w:tc>
          <w:tcPr>
            <w:tcW w:type="dxa" w:w="1584"/>
            <w:shd w:fill="FFFFFF"/>
            <w:tcMar>
              <w:top w:w="70" w:type="dxa"/>
              <w:bottom w:w="70" w:type="dxa"/>
              <w:left w:w="90" w:type="dxa"/>
              <w:right w:w="90" w:type="dxa"/>
            </w:tcMar>
          </w:tcPr>
          <w:p>
            <w:r>
              <w:rPr>
                <w:rFonts w:ascii="Calibri" w:hAnsi="Calibri"/>
                <w:color w:val="0F172A"/>
                <w:sz w:val="17"/>
              </w:rPr>
              <w:t>Reuniones / Excel</w:t>
            </w:r>
          </w:p>
        </w:tc>
        <w:tc>
          <w:tcPr>
            <w:tcW w:type="dxa" w:w="1584"/>
            <w:shd w:fill="FFFFFF"/>
            <w:tcMar>
              <w:top w:w="70" w:type="dxa"/>
              <w:bottom w:w="70" w:type="dxa"/>
              <w:left w:w="90" w:type="dxa"/>
              <w:right w:w="90" w:type="dxa"/>
            </w:tcMar>
          </w:tcPr>
          <w:p>
            <w:r>
              <w:rPr>
                <w:rFonts w:ascii="Calibri" w:hAnsi="Calibri"/>
                <w:color w:val="0F172A"/>
                <w:sz w:val="17"/>
              </w:rPr>
              <w:t>Medio</w:t>
            </w:r>
          </w:p>
        </w:tc>
        <w:tc>
          <w:tcPr>
            <w:tcW w:type="dxa" w:w="2016"/>
            <w:shd w:fill="FFFFFF"/>
            <w:tcMar>
              <w:top w:w="70" w:type="dxa"/>
              <w:bottom w:w="70" w:type="dxa"/>
              <w:left w:w="90" w:type="dxa"/>
              <w:right w:w="90" w:type="dxa"/>
            </w:tcMar>
          </w:tcPr>
          <w:p>
            <w:r>
              <w:rPr>
                <w:rFonts w:ascii="Calibri" w:hAnsi="Calibri"/>
                <w:color w:val="0F172A"/>
                <w:sz w:val="17"/>
              </w:rPr>
              <w:t>Plantilla SIPOC estructurada interactiva.</w:t>
            </w:r>
          </w:p>
        </w:tc>
      </w:tr>
      <w:tr>
        <w:tc>
          <w:tcPr>
            <w:tcW w:type="dxa" w:w="1872"/>
            <w:shd w:fill="F8FAFC"/>
            <w:tcMar>
              <w:top w:w="70" w:type="dxa"/>
              <w:bottom w:w="70" w:type="dxa"/>
              <w:left w:w="90" w:type="dxa"/>
              <w:right w:w="90" w:type="dxa"/>
            </w:tcMar>
          </w:tcPr>
          <w:p>
            <w:r>
              <w:rPr>
                <w:rFonts w:ascii="Calibri" w:hAnsi="Calibri"/>
                <w:b/>
                <w:color w:val="1E3A8A"/>
                <w:sz w:val="17"/>
              </w:rPr>
              <w:t>2. Diagramación Visual</w:t>
            </w:r>
          </w:p>
        </w:tc>
        <w:tc>
          <w:tcPr>
            <w:tcW w:type="dxa" w:w="2016"/>
            <w:shd w:fill="F8FAFC"/>
            <w:tcMar>
              <w:top w:w="70" w:type="dxa"/>
              <w:bottom w:w="70" w:type="dxa"/>
              <w:left w:w="90" w:type="dxa"/>
              <w:right w:w="90" w:type="dxa"/>
            </w:tcMar>
          </w:tcPr>
          <w:p>
            <w:r>
              <w:rPr>
                <w:rFonts w:ascii="Calibri" w:hAnsi="Calibri"/>
                <w:color w:val="0F172A"/>
                <w:sz w:val="17"/>
              </w:rPr>
              <w:t>Crear el flujo gráfico de decisión y tareas.</w:t>
            </w:r>
          </w:p>
        </w:tc>
        <w:tc>
          <w:tcPr>
            <w:tcW w:type="dxa" w:w="2016"/>
            <w:shd w:fill="F8FAFC"/>
            <w:tcMar>
              <w:top w:w="70" w:type="dxa"/>
              <w:bottom w:w="70" w:type="dxa"/>
              <w:left w:w="90" w:type="dxa"/>
              <w:right w:w="90" w:type="dxa"/>
            </w:tcMar>
          </w:tcPr>
          <w:p>
            <w:r>
              <w:rPr>
                <w:rFonts w:ascii="Calibri" w:hAnsi="Calibri"/>
                <w:color w:val="0F172A"/>
                <w:sz w:val="17"/>
              </w:rPr>
              <w:t>Arrastrar cajas manualmente en Lucidchart.</w:t>
            </w:r>
          </w:p>
        </w:tc>
        <w:tc>
          <w:tcPr>
            <w:tcW w:type="dxa" w:w="1584"/>
            <w:shd w:fill="F8FAFC"/>
            <w:tcMar>
              <w:top w:w="70" w:type="dxa"/>
              <w:bottom w:w="70" w:type="dxa"/>
              <w:left w:w="90" w:type="dxa"/>
              <w:right w:w="90" w:type="dxa"/>
            </w:tcMar>
          </w:tcPr>
          <w:p>
            <w:r>
              <w:rPr>
                <w:rFonts w:ascii="Calibri" w:hAnsi="Calibri"/>
                <w:color w:val="0F172A"/>
                <w:sz w:val="17"/>
              </w:rPr>
              <w:t>Lucidchart SaaS</w:t>
            </w:r>
          </w:p>
        </w:tc>
        <w:tc>
          <w:tcPr>
            <w:tcW w:type="dxa" w:w="1584"/>
            <w:shd w:fill="F8FAFC"/>
            <w:tcMar>
              <w:top w:w="70" w:type="dxa"/>
              <w:bottom w:w="70" w:type="dxa"/>
              <w:left w:w="90" w:type="dxa"/>
              <w:right w:w="90" w:type="dxa"/>
            </w:tcMar>
          </w:tcPr>
          <w:p>
            <w:r>
              <w:rPr>
                <w:rFonts w:ascii="Calibri" w:hAnsi="Calibri"/>
                <w:color w:val="0F172A"/>
                <w:sz w:val="17"/>
              </w:rPr>
              <w:t>Alto (Licencia)</w:t>
            </w:r>
          </w:p>
        </w:tc>
        <w:tc>
          <w:tcPr>
            <w:tcW w:type="dxa" w:w="2016"/>
            <w:shd w:fill="F8FAFC"/>
            <w:tcMar>
              <w:top w:w="70" w:type="dxa"/>
              <w:bottom w:w="70" w:type="dxa"/>
              <w:left w:w="90" w:type="dxa"/>
              <w:right w:w="90" w:type="dxa"/>
            </w:tcMar>
          </w:tcPr>
          <w:p>
            <w:r>
              <w:rPr>
                <w:rFonts w:ascii="Calibri" w:hAnsi="Calibri"/>
                <w:color w:val="0F172A"/>
                <w:sz w:val="17"/>
              </w:rPr>
              <w:t>Generador automático Bézier desde SIPOC.</w:t>
            </w:r>
          </w:p>
        </w:tc>
      </w:tr>
      <w:tr>
        <w:tc>
          <w:tcPr>
            <w:tcW w:type="dxa" w:w="1872"/>
            <w:shd w:fill="FFFFFF"/>
            <w:tcMar>
              <w:top w:w="70" w:type="dxa"/>
              <w:bottom w:w="70" w:type="dxa"/>
              <w:left w:w="90" w:type="dxa"/>
              <w:right w:w="90" w:type="dxa"/>
            </w:tcMar>
          </w:tcPr>
          <w:p>
            <w:r>
              <w:rPr>
                <w:rFonts w:ascii="Calibri" w:hAnsi="Calibri"/>
                <w:b/>
                <w:color w:val="1E3A8A"/>
                <w:sz w:val="17"/>
              </w:rPr>
              <w:t>3. Redacción del Manual</w:t>
            </w:r>
          </w:p>
        </w:tc>
        <w:tc>
          <w:tcPr>
            <w:tcW w:type="dxa" w:w="2016"/>
            <w:shd w:fill="FFFFFF"/>
            <w:tcMar>
              <w:top w:w="70" w:type="dxa"/>
              <w:bottom w:w="70" w:type="dxa"/>
              <w:left w:w="90" w:type="dxa"/>
              <w:right w:w="90" w:type="dxa"/>
            </w:tcMar>
          </w:tcPr>
          <w:p>
            <w:r>
              <w:rPr>
                <w:rFonts w:ascii="Calibri" w:hAnsi="Calibri"/>
                <w:color w:val="0F172A"/>
                <w:sz w:val="17"/>
              </w:rPr>
              <w:t>Generar el documento oficial de políticas.</w:t>
            </w:r>
          </w:p>
        </w:tc>
        <w:tc>
          <w:tcPr>
            <w:tcW w:type="dxa" w:w="2016"/>
            <w:shd w:fill="FFFFFF"/>
            <w:tcMar>
              <w:top w:w="70" w:type="dxa"/>
              <w:bottom w:w="70" w:type="dxa"/>
              <w:left w:w="90" w:type="dxa"/>
              <w:right w:w="90" w:type="dxa"/>
            </w:tcMar>
          </w:tcPr>
          <w:p>
            <w:r>
              <w:rPr>
                <w:rFonts w:ascii="Calibri" w:hAnsi="Calibri"/>
                <w:color w:val="0F172A"/>
                <w:sz w:val="17"/>
              </w:rPr>
              <w:t>Redactar 20 páginas en Word desde cero.</w:t>
            </w:r>
          </w:p>
        </w:tc>
        <w:tc>
          <w:tcPr>
            <w:tcW w:type="dxa" w:w="1584"/>
            <w:shd w:fill="FFFFFF"/>
            <w:tcMar>
              <w:top w:w="70" w:type="dxa"/>
              <w:bottom w:w="70" w:type="dxa"/>
              <w:left w:w="90" w:type="dxa"/>
              <w:right w:w="90" w:type="dxa"/>
            </w:tcMar>
          </w:tcPr>
          <w:p>
            <w:r>
              <w:rPr>
                <w:rFonts w:ascii="Calibri" w:hAnsi="Calibri"/>
                <w:color w:val="0F172A"/>
                <w:sz w:val="17"/>
              </w:rPr>
              <w:t>MS Word local</w:t>
            </w:r>
          </w:p>
        </w:tc>
        <w:tc>
          <w:tcPr>
            <w:tcW w:type="dxa" w:w="1584"/>
            <w:shd w:fill="FFFFFF"/>
            <w:tcMar>
              <w:top w:w="70" w:type="dxa"/>
              <w:bottom w:w="70" w:type="dxa"/>
              <w:left w:w="90" w:type="dxa"/>
              <w:right w:w="90" w:type="dxa"/>
            </w:tcMar>
          </w:tcPr>
          <w:p>
            <w:r>
              <w:rPr>
                <w:rFonts w:ascii="Calibri" w:hAnsi="Calibri"/>
                <w:color w:val="0F172A"/>
                <w:sz w:val="17"/>
              </w:rPr>
              <w:t>Crítico (20-40h)</w:t>
            </w:r>
          </w:p>
        </w:tc>
        <w:tc>
          <w:tcPr>
            <w:tcW w:type="dxa" w:w="2016"/>
            <w:shd w:fill="FFFFFF"/>
            <w:tcMar>
              <w:top w:w="70" w:type="dxa"/>
              <w:bottom w:w="70" w:type="dxa"/>
              <w:left w:w="90" w:type="dxa"/>
              <w:right w:w="90" w:type="dxa"/>
            </w:tcMar>
          </w:tcPr>
          <w:p>
            <w:r>
              <w:rPr>
                <w:rFonts w:ascii="Calibri" w:hAnsi="Calibri"/>
                <w:color w:val="0F172A"/>
                <w:sz w:val="17"/>
              </w:rPr>
              <w:t>Redacción automática con Gemini 2.5 Flash.</w:t>
            </w:r>
          </w:p>
        </w:tc>
      </w:tr>
      <w:tr>
        <w:tc>
          <w:tcPr>
            <w:tcW w:type="dxa" w:w="1872"/>
            <w:shd w:fill="F8FAFC"/>
            <w:tcMar>
              <w:top w:w="70" w:type="dxa"/>
              <w:bottom w:w="70" w:type="dxa"/>
              <w:left w:w="90" w:type="dxa"/>
              <w:right w:w="90" w:type="dxa"/>
            </w:tcMar>
          </w:tcPr>
          <w:p>
            <w:r>
              <w:rPr>
                <w:rFonts w:ascii="Calibri" w:hAnsi="Calibri"/>
                <w:b/>
                <w:color w:val="1E3A8A"/>
                <w:sz w:val="17"/>
              </w:rPr>
              <w:t>4. Auditoría de Calidad</w:t>
            </w:r>
          </w:p>
        </w:tc>
        <w:tc>
          <w:tcPr>
            <w:tcW w:type="dxa" w:w="2016"/>
            <w:shd w:fill="F8FAFC"/>
            <w:tcMar>
              <w:top w:w="70" w:type="dxa"/>
              <w:bottom w:w="70" w:type="dxa"/>
              <w:left w:w="90" w:type="dxa"/>
              <w:right w:w="90" w:type="dxa"/>
            </w:tcMar>
          </w:tcPr>
          <w:p>
            <w:r>
              <w:rPr>
                <w:rFonts w:ascii="Calibri" w:hAnsi="Calibri"/>
                <w:color w:val="0F172A"/>
                <w:sz w:val="17"/>
              </w:rPr>
              <w:t>Verificar que el flujo no tenga errores lógicos.</w:t>
            </w:r>
          </w:p>
        </w:tc>
        <w:tc>
          <w:tcPr>
            <w:tcW w:type="dxa" w:w="2016"/>
            <w:shd w:fill="F8FAFC"/>
            <w:tcMar>
              <w:top w:w="70" w:type="dxa"/>
              <w:bottom w:w="70" w:type="dxa"/>
              <w:left w:w="90" w:type="dxa"/>
              <w:right w:w="90" w:type="dxa"/>
            </w:tcMar>
          </w:tcPr>
          <w:p>
            <w:r>
              <w:rPr>
                <w:rFonts w:ascii="Calibri" w:hAnsi="Calibri"/>
                <w:color w:val="0F172A"/>
                <w:sz w:val="17"/>
              </w:rPr>
              <w:t>Revisión visual manual regla por regla.</w:t>
            </w:r>
          </w:p>
        </w:tc>
        <w:tc>
          <w:tcPr>
            <w:tcW w:type="dxa" w:w="1584"/>
            <w:shd w:fill="F8FAFC"/>
            <w:tcMar>
              <w:top w:w="70" w:type="dxa"/>
              <w:bottom w:w="70" w:type="dxa"/>
              <w:left w:w="90" w:type="dxa"/>
              <w:right w:w="90" w:type="dxa"/>
            </w:tcMar>
          </w:tcPr>
          <w:p>
            <w:r>
              <w:rPr>
                <w:rFonts w:ascii="Calibri" w:hAnsi="Calibri"/>
                <w:color w:val="0F172A"/>
                <w:sz w:val="17"/>
              </w:rPr>
              <w:t>Revisión por pares</w:t>
            </w:r>
          </w:p>
        </w:tc>
        <w:tc>
          <w:tcPr>
            <w:tcW w:type="dxa" w:w="1584"/>
            <w:shd w:fill="F8FAFC"/>
            <w:tcMar>
              <w:top w:w="70" w:type="dxa"/>
              <w:bottom w:w="70" w:type="dxa"/>
              <w:left w:w="90" w:type="dxa"/>
              <w:right w:w="90" w:type="dxa"/>
            </w:tcMar>
          </w:tcPr>
          <w:p>
            <w:r>
              <w:rPr>
                <w:rFonts w:ascii="Calibri" w:hAnsi="Calibri"/>
                <w:color w:val="0F172A"/>
                <w:sz w:val="17"/>
              </w:rPr>
              <w:t>Alto (Errores)</w:t>
            </w:r>
          </w:p>
        </w:tc>
        <w:tc>
          <w:tcPr>
            <w:tcW w:type="dxa" w:w="2016"/>
            <w:shd w:fill="F8FAFC"/>
            <w:tcMar>
              <w:top w:w="70" w:type="dxa"/>
              <w:bottom w:w="70" w:type="dxa"/>
              <w:left w:w="90" w:type="dxa"/>
              <w:right w:w="90" w:type="dxa"/>
            </w:tcMar>
          </w:tcPr>
          <w:p>
            <w:r>
              <w:rPr>
                <w:rFonts w:ascii="Calibri" w:hAnsi="Calibri"/>
                <w:color w:val="0F172A"/>
                <w:sz w:val="17"/>
              </w:rPr>
              <w:t>Auditor IA en tiempo real (Score 0-100).</w:t>
            </w:r>
          </w:p>
        </w:tc>
      </w:tr>
      <w:tr>
        <w:tc>
          <w:tcPr>
            <w:tcW w:type="dxa" w:w="1872"/>
            <w:shd w:fill="FFFFFF"/>
            <w:tcMar>
              <w:top w:w="70" w:type="dxa"/>
              <w:bottom w:w="70" w:type="dxa"/>
              <w:left w:w="90" w:type="dxa"/>
              <w:right w:w="90" w:type="dxa"/>
            </w:tcMar>
          </w:tcPr>
          <w:p>
            <w:r>
              <w:rPr>
                <w:rFonts w:ascii="Calibri" w:hAnsi="Calibri"/>
                <w:b/>
                <w:color w:val="1E3A8A"/>
                <w:sz w:val="17"/>
              </w:rPr>
              <w:t>5. Aprobación &amp; Firma</w:t>
            </w:r>
          </w:p>
        </w:tc>
        <w:tc>
          <w:tcPr>
            <w:tcW w:type="dxa" w:w="2016"/>
            <w:shd w:fill="FFFFFF"/>
            <w:tcMar>
              <w:top w:w="70" w:type="dxa"/>
              <w:bottom w:w="70" w:type="dxa"/>
              <w:left w:w="90" w:type="dxa"/>
              <w:right w:w="90" w:type="dxa"/>
            </w:tcMar>
          </w:tcPr>
          <w:p>
            <w:r>
              <w:rPr>
                <w:rFonts w:ascii="Calibri" w:hAnsi="Calibri"/>
                <w:color w:val="0F172A"/>
                <w:sz w:val="17"/>
              </w:rPr>
              <w:t>Obtener sign-off del Sponsor y Líder de Área.</w:t>
            </w:r>
          </w:p>
        </w:tc>
        <w:tc>
          <w:tcPr>
            <w:tcW w:type="dxa" w:w="2016"/>
            <w:shd w:fill="FFFFFF"/>
            <w:tcMar>
              <w:top w:w="70" w:type="dxa"/>
              <w:bottom w:w="70" w:type="dxa"/>
              <w:left w:w="90" w:type="dxa"/>
              <w:right w:w="90" w:type="dxa"/>
            </w:tcMar>
          </w:tcPr>
          <w:p>
            <w:r>
              <w:rPr>
                <w:rFonts w:ascii="Calibri" w:hAnsi="Calibri"/>
                <w:color w:val="0F172A"/>
                <w:sz w:val="17"/>
              </w:rPr>
              <w:t>Envío de PDFs por correo con firmas manuales.</w:t>
            </w:r>
          </w:p>
        </w:tc>
        <w:tc>
          <w:tcPr>
            <w:tcW w:type="dxa" w:w="1584"/>
            <w:shd w:fill="FFFFFF"/>
            <w:tcMar>
              <w:top w:w="70" w:type="dxa"/>
              <w:bottom w:w="70" w:type="dxa"/>
              <w:left w:w="90" w:type="dxa"/>
              <w:right w:w="90" w:type="dxa"/>
            </w:tcMar>
          </w:tcPr>
          <w:p>
            <w:r>
              <w:rPr>
                <w:rFonts w:ascii="Calibri" w:hAnsi="Calibri"/>
                <w:color w:val="0F172A"/>
                <w:sz w:val="17"/>
              </w:rPr>
              <w:t>Correo electrónico</w:t>
            </w:r>
          </w:p>
        </w:tc>
        <w:tc>
          <w:tcPr>
            <w:tcW w:type="dxa" w:w="1584"/>
            <w:shd w:fill="FFFFFF"/>
            <w:tcMar>
              <w:top w:w="70" w:type="dxa"/>
              <w:bottom w:w="70" w:type="dxa"/>
              <w:left w:w="90" w:type="dxa"/>
              <w:right w:w="90" w:type="dxa"/>
            </w:tcMar>
          </w:tcPr>
          <w:p>
            <w:r>
              <w:rPr>
                <w:rFonts w:ascii="Calibri" w:hAnsi="Calibri"/>
                <w:color w:val="0F172A"/>
                <w:sz w:val="17"/>
              </w:rPr>
              <w:t>Medio</w:t>
            </w:r>
          </w:p>
        </w:tc>
        <w:tc>
          <w:tcPr>
            <w:tcW w:type="dxa" w:w="2016"/>
            <w:shd w:fill="FFFFFF"/>
            <w:tcMar>
              <w:top w:w="70" w:type="dxa"/>
              <w:bottom w:w="70" w:type="dxa"/>
              <w:left w:w="90" w:type="dxa"/>
              <w:right w:w="90" w:type="dxa"/>
            </w:tcMar>
          </w:tcPr>
          <w:p>
            <w:r>
              <w:rPr>
                <w:rFonts w:ascii="Calibri" w:hAnsi="Calibri"/>
                <w:color w:val="0F172A"/>
                <w:sz w:val="17"/>
              </w:rPr>
              <w:t>Módulo de Gobernanza y Actas integrado.</w:t>
            </w:r>
          </w:p>
        </w:tc>
      </w:tr>
      <w:tr>
        <w:tc>
          <w:tcPr>
            <w:tcW w:type="dxa" w:w="1872"/>
            <w:shd w:fill="F8FAFC"/>
            <w:tcMar>
              <w:top w:w="70" w:type="dxa"/>
              <w:bottom w:w="70" w:type="dxa"/>
              <w:left w:w="90" w:type="dxa"/>
              <w:right w:w="90" w:type="dxa"/>
            </w:tcMar>
          </w:tcPr>
          <w:p>
            <w:r>
              <w:rPr>
                <w:rFonts w:ascii="Calibri" w:hAnsi="Calibri"/>
                <w:b/>
                <w:color w:val="1E3A8A"/>
                <w:sz w:val="17"/>
              </w:rPr>
              <w:t>6. Publicación y Respaldo</w:t>
            </w:r>
          </w:p>
        </w:tc>
        <w:tc>
          <w:tcPr>
            <w:tcW w:type="dxa" w:w="2016"/>
            <w:shd w:fill="F8FAFC"/>
            <w:tcMar>
              <w:top w:w="70" w:type="dxa"/>
              <w:bottom w:w="70" w:type="dxa"/>
              <w:left w:w="90" w:type="dxa"/>
              <w:right w:w="90" w:type="dxa"/>
            </w:tcMar>
          </w:tcPr>
          <w:p>
            <w:r>
              <w:rPr>
                <w:rFonts w:ascii="Calibri" w:hAnsi="Calibri"/>
                <w:color w:val="0F172A"/>
                <w:sz w:val="17"/>
              </w:rPr>
              <w:t>Almacenar versión oficial y compartir al equipo.</w:t>
            </w:r>
          </w:p>
        </w:tc>
        <w:tc>
          <w:tcPr>
            <w:tcW w:type="dxa" w:w="2016"/>
            <w:shd w:fill="F8FAFC"/>
            <w:tcMar>
              <w:top w:w="70" w:type="dxa"/>
              <w:bottom w:w="70" w:type="dxa"/>
              <w:left w:w="90" w:type="dxa"/>
              <w:right w:w="90" w:type="dxa"/>
            </w:tcMar>
          </w:tcPr>
          <w:p>
            <w:r>
              <w:rPr>
                <w:rFonts w:ascii="Calibri" w:hAnsi="Calibri"/>
                <w:color w:val="0F172A"/>
                <w:sz w:val="17"/>
              </w:rPr>
              <w:t>Guardado en carpetas locales o nubes personales.</w:t>
            </w:r>
          </w:p>
        </w:tc>
        <w:tc>
          <w:tcPr>
            <w:tcW w:type="dxa" w:w="1584"/>
            <w:shd w:fill="F8FAFC"/>
            <w:tcMar>
              <w:top w:w="70" w:type="dxa"/>
              <w:bottom w:w="70" w:type="dxa"/>
              <w:left w:w="90" w:type="dxa"/>
              <w:right w:w="90" w:type="dxa"/>
            </w:tcMar>
          </w:tcPr>
          <w:p>
            <w:r>
              <w:rPr>
                <w:rFonts w:ascii="Calibri" w:hAnsi="Calibri"/>
                <w:color w:val="0F172A"/>
                <w:sz w:val="17"/>
              </w:rPr>
              <w:t>Discos locales</w:t>
            </w:r>
          </w:p>
        </w:tc>
        <w:tc>
          <w:tcPr>
            <w:tcW w:type="dxa" w:w="1584"/>
            <w:shd w:fill="F8FAFC"/>
            <w:tcMar>
              <w:top w:w="70" w:type="dxa"/>
              <w:bottom w:w="70" w:type="dxa"/>
              <w:left w:w="90" w:type="dxa"/>
              <w:right w:w="90" w:type="dxa"/>
            </w:tcMar>
          </w:tcPr>
          <w:p>
            <w:r>
              <w:rPr>
                <w:rFonts w:ascii="Calibri" w:hAnsi="Calibri"/>
                <w:color w:val="0F172A"/>
                <w:sz w:val="17"/>
              </w:rPr>
              <w:t>Alto (Pérdida)</w:t>
            </w:r>
          </w:p>
        </w:tc>
        <w:tc>
          <w:tcPr>
            <w:tcW w:type="dxa" w:w="2016"/>
            <w:shd w:fill="F8FAFC"/>
            <w:tcMar>
              <w:top w:w="70" w:type="dxa"/>
              <w:bottom w:w="70" w:type="dxa"/>
              <w:left w:w="90" w:type="dxa"/>
              <w:right w:w="90" w:type="dxa"/>
            </w:tcMar>
          </w:tcPr>
          <w:p>
            <w:r>
              <w:rPr>
                <w:rFonts w:ascii="Calibri" w:hAnsi="Calibri"/>
                <w:color w:val="0F172A"/>
                <w:sz w:val="17"/>
              </w:rPr>
              <w:t>Respaldo automático en Google Shared Drive con SA.</w:t>
            </w:r>
          </w:p>
        </w:tc>
      </w:tr>
    </w:tbl>
    <w:p>
      <w:pPr>
        <w:spacing w:after="160"/>
      </w:pPr>
    </w:p>
    <w:p>
      <w:pPr>
        <w:spacing w:before="280" w:after="100"/>
      </w:pPr>
      <w:r>
        <w:rPr>
          <w:rFonts w:ascii="Calibri" w:hAnsi="Calibri"/>
          <w:b/>
          <w:color w:val="1E3A8A"/>
          <w:sz w:val="26"/>
        </w:rPr>
        <w:t>5. Matriz Comparativa Exhaustiva: Modelo Tradicional (AS-IS) vs Suite TEMIS (TO-BE)</w:t>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shd w:fill="1E3A8A"/>
            <w:tcMar>
              <w:top w:w="90" w:type="dxa"/>
              <w:bottom w:w="90" w:type="dxa"/>
              <w:left w:w="100" w:type="dxa"/>
              <w:right w:w="100" w:type="dxa"/>
            </w:tcMar>
          </w:tcPr>
          <w:p>
            <w:r>
              <w:rPr>
                <w:rFonts w:ascii="Calibri" w:hAnsi="Calibri"/>
                <w:b/>
                <w:color w:val="FFFFFF"/>
                <w:sz w:val="18"/>
              </w:rPr>
              <w:t>Dimensión / Capacidad</w:t>
            </w:r>
          </w:p>
        </w:tc>
        <w:tc>
          <w:tcPr>
            <w:tcW w:type="dxa" w:w="2880"/>
            <w:shd w:fill="1E3A8A"/>
            <w:tcMar>
              <w:top w:w="90" w:type="dxa"/>
              <w:bottom w:w="90" w:type="dxa"/>
              <w:left w:w="100" w:type="dxa"/>
              <w:right w:w="100" w:type="dxa"/>
            </w:tcMar>
          </w:tcPr>
          <w:p>
            <w:r>
              <w:rPr>
                <w:rFonts w:ascii="Calibri" w:hAnsi="Calibri"/>
                <w:b/>
                <w:color w:val="FFFFFF"/>
                <w:sz w:val="18"/>
              </w:rPr>
              <w:t>Modelo Tradicional (AS-IS)</w:t>
            </w:r>
          </w:p>
        </w:tc>
        <w:tc>
          <w:tcPr>
            <w:tcW w:type="dxa" w:w="3312"/>
            <w:shd w:fill="1E3A8A"/>
            <w:tcMar>
              <w:top w:w="90" w:type="dxa"/>
              <w:bottom w:w="90" w:type="dxa"/>
              <w:left w:w="100" w:type="dxa"/>
              <w:right w:w="100" w:type="dxa"/>
            </w:tcMar>
          </w:tcPr>
          <w:p>
            <w:r>
              <w:rPr>
                <w:rFonts w:ascii="Calibri" w:hAnsi="Calibri"/>
                <w:b/>
                <w:color w:val="FFFFFF"/>
                <w:sz w:val="18"/>
              </w:rPr>
              <w:t>Suite TEMIS (TO-BE)</w:t>
            </w:r>
          </w:p>
        </w:tc>
        <w:tc>
          <w:tcPr>
            <w:tcW w:type="dxa" w:w="2448"/>
            <w:shd w:fill="1E3A8A"/>
            <w:tcMar>
              <w:top w:w="90" w:type="dxa"/>
              <w:bottom w:w="90" w:type="dxa"/>
              <w:left w:w="100" w:type="dxa"/>
              <w:right w:w="100" w:type="dxa"/>
            </w:tcMar>
          </w:tcPr>
          <w:p>
            <w:r>
              <w:rPr>
                <w:rFonts w:ascii="Calibri" w:hAnsi="Calibri"/>
                <w:b/>
                <w:color w:val="FFFFFF"/>
                <w:sz w:val="18"/>
              </w:rPr>
              <w:t>Impacto / Beneficio</w:t>
            </w:r>
          </w:p>
        </w:tc>
      </w:tr>
      <w:tr>
        <w:tc>
          <w:tcPr>
            <w:tcW w:type="dxa" w:w="2160"/>
            <w:shd w:fill="FFFFFF"/>
            <w:tcMar>
              <w:top w:w="70" w:type="dxa"/>
              <w:bottom w:w="70" w:type="dxa"/>
              <w:left w:w="90" w:type="dxa"/>
              <w:right w:w="90" w:type="dxa"/>
            </w:tcMar>
          </w:tcPr>
          <w:p>
            <w:r>
              <w:rPr>
                <w:rFonts w:ascii="Calibri" w:hAnsi="Calibri"/>
                <w:b/>
                <w:color w:val="1E3A8A"/>
                <w:sz w:val="17"/>
              </w:rPr>
              <w:t>Costo Financiero de Software</w:t>
            </w:r>
          </w:p>
        </w:tc>
        <w:tc>
          <w:tcPr>
            <w:tcW w:type="dxa" w:w="2880"/>
            <w:shd w:fill="FFFFFF"/>
            <w:tcMar>
              <w:top w:w="70" w:type="dxa"/>
              <w:bottom w:w="70" w:type="dxa"/>
              <w:left w:w="90" w:type="dxa"/>
              <w:right w:w="90" w:type="dxa"/>
            </w:tcMar>
          </w:tcPr>
          <w:p>
            <w:r>
              <w:rPr>
                <w:rFonts w:ascii="Calibri" w:hAnsi="Calibri"/>
                <w:color w:val="0F172A"/>
                <w:sz w:val="17"/>
              </w:rPr>
              <w:t>Pago recurrente anual en USD por licencias de Lucidchart.</w:t>
            </w:r>
          </w:p>
        </w:tc>
        <w:tc>
          <w:tcPr>
            <w:tcW w:type="dxa" w:w="3312"/>
            <w:shd w:fill="FFFFFF"/>
            <w:tcMar>
              <w:top w:w="70" w:type="dxa"/>
              <w:bottom w:w="70" w:type="dxa"/>
              <w:left w:w="90" w:type="dxa"/>
              <w:right w:w="90" w:type="dxa"/>
            </w:tcMar>
          </w:tcPr>
          <w:p>
            <w:r>
              <w:rPr>
                <w:rFonts w:ascii="Calibri" w:hAnsi="Calibri"/>
                <w:color w:val="0F172A"/>
                <w:sz w:val="17"/>
              </w:rPr>
              <w:t>Cero costo de licenciamiento. Software propietario soberano.</w:t>
            </w:r>
          </w:p>
        </w:tc>
        <w:tc>
          <w:tcPr>
            <w:tcW w:type="dxa" w:w="2448"/>
            <w:shd w:fill="FFFFFF"/>
            <w:tcMar>
              <w:top w:w="70" w:type="dxa"/>
              <w:bottom w:w="70" w:type="dxa"/>
              <w:left w:w="90" w:type="dxa"/>
              <w:right w:w="90" w:type="dxa"/>
            </w:tcMar>
          </w:tcPr>
          <w:p>
            <w:r>
              <w:rPr>
                <w:rFonts w:ascii="Calibri" w:hAnsi="Calibri"/>
                <w:color w:val="0F172A"/>
                <w:sz w:val="17"/>
              </w:rPr>
              <w:t>Ahorro del 100% en gasto recurrente SaaS.</w:t>
            </w:r>
          </w:p>
        </w:tc>
      </w:tr>
      <w:tr>
        <w:tc>
          <w:tcPr>
            <w:tcW w:type="dxa" w:w="2160"/>
            <w:shd w:fill="F8FAFC"/>
            <w:tcMar>
              <w:top w:w="70" w:type="dxa"/>
              <w:bottom w:w="70" w:type="dxa"/>
              <w:left w:w="90" w:type="dxa"/>
              <w:right w:w="90" w:type="dxa"/>
            </w:tcMar>
          </w:tcPr>
          <w:p>
            <w:r>
              <w:rPr>
                <w:rFonts w:ascii="Calibri" w:hAnsi="Calibri"/>
                <w:b/>
                <w:color w:val="1E3A8A"/>
                <w:sz w:val="17"/>
              </w:rPr>
              <w:t>Tiempo de Documentación</w:t>
            </w:r>
          </w:p>
        </w:tc>
        <w:tc>
          <w:tcPr>
            <w:tcW w:type="dxa" w:w="2880"/>
            <w:shd w:fill="F8FAFC"/>
            <w:tcMar>
              <w:top w:w="70" w:type="dxa"/>
              <w:bottom w:w="70" w:type="dxa"/>
              <w:left w:w="90" w:type="dxa"/>
              <w:right w:w="90" w:type="dxa"/>
            </w:tcMar>
          </w:tcPr>
          <w:p>
            <w:r>
              <w:rPr>
                <w:rFonts w:ascii="Calibri" w:hAnsi="Calibri"/>
                <w:color w:val="0F172A"/>
                <w:sz w:val="17"/>
              </w:rPr>
              <w:t>20 a 40 horas por proceso entre diagramar y redactar en Word.</w:t>
            </w:r>
          </w:p>
        </w:tc>
        <w:tc>
          <w:tcPr>
            <w:tcW w:type="dxa" w:w="3312"/>
            <w:shd w:fill="F8FAFC"/>
            <w:tcMar>
              <w:top w:w="70" w:type="dxa"/>
              <w:bottom w:w="70" w:type="dxa"/>
              <w:left w:w="90" w:type="dxa"/>
              <w:right w:w="90" w:type="dxa"/>
            </w:tcMar>
          </w:tcPr>
          <w:p>
            <w:r>
              <w:rPr>
                <w:rFonts w:ascii="Calibri" w:hAnsi="Calibri"/>
                <w:color w:val="0F172A"/>
                <w:sz w:val="17"/>
              </w:rPr>
              <w:t>Menos de 2 horas por proceso (Reducción del 80-90%).</w:t>
            </w:r>
          </w:p>
        </w:tc>
        <w:tc>
          <w:tcPr>
            <w:tcW w:type="dxa" w:w="2448"/>
            <w:shd w:fill="F8FAFC"/>
            <w:tcMar>
              <w:top w:w="70" w:type="dxa"/>
              <w:bottom w:w="70" w:type="dxa"/>
              <w:left w:w="90" w:type="dxa"/>
              <w:right w:w="90" w:type="dxa"/>
            </w:tcMar>
          </w:tcPr>
          <w:p>
            <w:r>
              <w:rPr>
                <w:rFonts w:ascii="Calibri" w:hAnsi="Calibri"/>
                <w:color w:val="0F172A"/>
                <w:sz w:val="17"/>
              </w:rPr>
              <w:t>Multiplica x5 la capacidad del equipo.</w:t>
            </w:r>
          </w:p>
        </w:tc>
      </w:tr>
      <w:tr>
        <w:tc>
          <w:tcPr>
            <w:tcW w:type="dxa" w:w="2160"/>
            <w:shd w:fill="FFFFFF"/>
            <w:tcMar>
              <w:top w:w="70" w:type="dxa"/>
              <w:bottom w:w="70" w:type="dxa"/>
              <w:left w:w="90" w:type="dxa"/>
              <w:right w:w="90" w:type="dxa"/>
            </w:tcMar>
          </w:tcPr>
          <w:p>
            <w:r>
              <w:rPr>
                <w:rFonts w:ascii="Calibri" w:hAnsi="Calibri"/>
                <w:b/>
                <w:color w:val="1E3A8A"/>
                <w:sz w:val="17"/>
              </w:rPr>
              <w:t>Método de Entrada</w:t>
            </w:r>
          </w:p>
        </w:tc>
        <w:tc>
          <w:tcPr>
            <w:tcW w:type="dxa" w:w="2880"/>
            <w:shd w:fill="FFFFFF"/>
            <w:tcMar>
              <w:top w:w="70" w:type="dxa"/>
              <w:bottom w:w="70" w:type="dxa"/>
              <w:left w:w="90" w:type="dxa"/>
              <w:right w:w="90" w:type="dxa"/>
            </w:tcMar>
          </w:tcPr>
          <w:p>
            <w:r>
              <w:rPr>
                <w:rFonts w:ascii="Calibri" w:hAnsi="Calibri"/>
                <w:color w:val="0F172A"/>
                <w:sz w:val="17"/>
              </w:rPr>
              <w:t>Lienzo gráfico en blanco con dibujo manual caja por caja.</w:t>
            </w:r>
          </w:p>
        </w:tc>
        <w:tc>
          <w:tcPr>
            <w:tcW w:type="dxa" w:w="3312"/>
            <w:shd w:fill="FFFFFF"/>
            <w:tcMar>
              <w:top w:w="70" w:type="dxa"/>
              <w:bottom w:w="70" w:type="dxa"/>
              <w:left w:w="90" w:type="dxa"/>
              <w:right w:w="90" w:type="dxa"/>
            </w:tcMar>
          </w:tcPr>
          <w:p>
            <w:r>
              <w:rPr>
                <w:rFonts w:ascii="Calibri" w:hAnsi="Calibri"/>
                <w:color w:val="0F172A"/>
                <w:sz w:val="17"/>
              </w:rPr>
              <w:t>Matriz SIPOC Six Sigma con autocompletado inteligente Gemini IA.</w:t>
            </w:r>
          </w:p>
        </w:tc>
        <w:tc>
          <w:tcPr>
            <w:tcW w:type="dxa" w:w="2448"/>
            <w:shd w:fill="FFFFFF"/>
            <w:tcMar>
              <w:top w:w="70" w:type="dxa"/>
              <w:bottom w:w="70" w:type="dxa"/>
              <w:left w:w="90" w:type="dxa"/>
              <w:right w:w="90" w:type="dxa"/>
            </w:tcMar>
          </w:tcPr>
          <w:p>
            <w:r>
              <w:rPr>
                <w:rFonts w:ascii="Calibri" w:hAnsi="Calibri"/>
                <w:color w:val="0F172A"/>
                <w:sz w:val="17"/>
              </w:rPr>
              <w:t>Accesible para cualquier perfil de analista.</w:t>
            </w:r>
          </w:p>
        </w:tc>
      </w:tr>
      <w:tr>
        <w:tc>
          <w:tcPr>
            <w:tcW w:type="dxa" w:w="2160"/>
            <w:shd w:fill="F8FAFC"/>
            <w:tcMar>
              <w:top w:w="70" w:type="dxa"/>
              <w:bottom w:w="70" w:type="dxa"/>
              <w:left w:w="90" w:type="dxa"/>
              <w:right w:w="90" w:type="dxa"/>
            </w:tcMar>
          </w:tcPr>
          <w:p>
            <w:r>
              <w:rPr>
                <w:rFonts w:ascii="Calibri" w:hAnsi="Calibri"/>
                <w:b/>
                <w:color w:val="1E3A8A"/>
                <w:sz w:val="17"/>
              </w:rPr>
              <w:t>Generación Gráfica</w:t>
            </w:r>
          </w:p>
        </w:tc>
        <w:tc>
          <w:tcPr>
            <w:tcW w:type="dxa" w:w="2880"/>
            <w:shd w:fill="F8FAFC"/>
            <w:tcMar>
              <w:top w:w="70" w:type="dxa"/>
              <w:bottom w:w="70" w:type="dxa"/>
              <w:left w:w="90" w:type="dxa"/>
              <w:right w:w="90" w:type="dxa"/>
            </w:tcMar>
          </w:tcPr>
          <w:p>
            <w:r>
              <w:rPr>
                <w:rFonts w:ascii="Calibri" w:hAnsi="Calibri"/>
                <w:color w:val="0F172A"/>
                <w:sz w:val="17"/>
              </w:rPr>
              <w:t>Alineación manual propensa a líneas cruzadas y desorden.</w:t>
            </w:r>
          </w:p>
        </w:tc>
        <w:tc>
          <w:tcPr>
            <w:tcW w:type="dxa" w:w="3312"/>
            <w:shd w:fill="F8FAFC"/>
            <w:tcMar>
              <w:top w:w="70" w:type="dxa"/>
              <w:bottom w:w="70" w:type="dxa"/>
              <w:left w:w="90" w:type="dxa"/>
              <w:right w:w="90" w:type="dxa"/>
            </w:tcMar>
          </w:tcPr>
          <w:p>
            <w:r>
              <w:rPr>
                <w:rFonts w:ascii="Calibri" w:hAnsi="Calibri"/>
                <w:color w:val="0F172A"/>
                <w:sz w:val="17"/>
              </w:rPr>
              <w:t>Ruteo perimetral automático con curvas cúbicas SVG Bézier.</w:t>
            </w:r>
          </w:p>
        </w:tc>
        <w:tc>
          <w:tcPr>
            <w:tcW w:type="dxa" w:w="2448"/>
            <w:shd w:fill="F8FAFC"/>
            <w:tcMar>
              <w:top w:w="70" w:type="dxa"/>
              <w:bottom w:w="70" w:type="dxa"/>
              <w:left w:w="90" w:type="dxa"/>
              <w:right w:w="90" w:type="dxa"/>
            </w:tcMar>
          </w:tcPr>
          <w:p>
            <w:r>
              <w:rPr>
                <w:rFonts w:ascii="Calibri" w:hAnsi="Calibri"/>
                <w:color w:val="0F172A"/>
                <w:sz w:val="17"/>
              </w:rPr>
              <w:t>Estandarización y estética impecable.</w:t>
            </w:r>
          </w:p>
        </w:tc>
      </w:tr>
      <w:tr>
        <w:tc>
          <w:tcPr>
            <w:tcW w:type="dxa" w:w="2160"/>
            <w:shd w:fill="FFFFFF"/>
            <w:tcMar>
              <w:top w:w="70" w:type="dxa"/>
              <w:bottom w:w="70" w:type="dxa"/>
              <w:left w:w="90" w:type="dxa"/>
              <w:right w:w="90" w:type="dxa"/>
            </w:tcMar>
          </w:tcPr>
          <w:p>
            <w:r>
              <w:rPr>
                <w:rFonts w:ascii="Calibri" w:hAnsi="Calibri"/>
                <w:b/>
                <w:color w:val="1E3A8A"/>
                <w:sz w:val="17"/>
              </w:rPr>
              <w:t>Redacción de Políticas</w:t>
            </w:r>
          </w:p>
        </w:tc>
        <w:tc>
          <w:tcPr>
            <w:tcW w:type="dxa" w:w="2880"/>
            <w:shd w:fill="FFFFFF"/>
            <w:tcMar>
              <w:top w:w="70" w:type="dxa"/>
              <w:bottom w:w="70" w:type="dxa"/>
              <w:left w:w="90" w:type="dxa"/>
              <w:right w:w="90" w:type="dxa"/>
            </w:tcMar>
          </w:tcPr>
          <w:p>
            <w:r>
              <w:rPr>
                <w:rFonts w:ascii="Calibri" w:hAnsi="Calibri"/>
                <w:color w:val="0F172A"/>
                <w:sz w:val="17"/>
              </w:rPr>
              <w:t>Transcripción manual en Word sujeta a contradicciones.</w:t>
            </w:r>
          </w:p>
        </w:tc>
        <w:tc>
          <w:tcPr>
            <w:tcW w:type="dxa" w:w="3312"/>
            <w:shd w:fill="FFFFFF"/>
            <w:tcMar>
              <w:top w:w="70" w:type="dxa"/>
              <w:bottom w:w="70" w:type="dxa"/>
              <w:left w:w="90" w:type="dxa"/>
              <w:right w:w="90" w:type="dxa"/>
            </w:tcMar>
          </w:tcPr>
          <w:p>
            <w:r>
              <w:rPr>
                <w:rFonts w:ascii="Calibri" w:hAnsi="Calibri"/>
                <w:color w:val="0F172A"/>
                <w:sz w:val="17"/>
              </w:rPr>
              <w:t>Generación automática en texto corrido estructurado (1.0..N).</w:t>
            </w:r>
          </w:p>
        </w:tc>
        <w:tc>
          <w:tcPr>
            <w:tcW w:type="dxa" w:w="2448"/>
            <w:shd w:fill="FFFFFF"/>
            <w:tcMar>
              <w:top w:w="70" w:type="dxa"/>
              <w:bottom w:w="70" w:type="dxa"/>
              <w:left w:w="90" w:type="dxa"/>
              <w:right w:w="90" w:type="dxa"/>
            </w:tcMar>
          </w:tcPr>
          <w:p>
            <w:r>
              <w:rPr>
                <w:rFonts w:ascii="Calibri" w:hAnsi="Calibri"/>
                <w:color w:val="0F172A"/>
                <w:sz w:val="17"/>
              </w:rPr>
              <w:t>Consistencia 100% entre diagrama y texto.</w:t>
            </w:r>
          </w:p>
        </w:tc>
      </w:tr>
      <w:tr>
        <w:tc>
          <w:tcPr>
            <w:tcW w:type="dxa" w:w="2160"/>
            <w:shd w:fill="F8FAFC"/>
            <w:tcMar>
              <w:top w:w="70" w:type="dxa"/>
              <w:bottom w:w="70" w:type="dxa"/>
              <w:left w:w="90" w:type="dxa"/>
              <w:right w:w="90" w:type="dxa"/>
            </w:tcMar>
          </w:tcPr>
          <w:p>
            <w:r>
              <w:rPr>
                <w:rFonts w:ascii="Calibri" w:hAnsi="Calibri"/>
                <w:b/>
                <w:color w:val="1E3A8A"/>
                <w:sz w:val="17"/>
              </w:rPr>
              <w:t>Auditoría de Calidad</w:t>
            </w:r>
          </w:p>
        </w:tc>
        <w:tc>
          <w:tcPr>
            <w:tcW w:type="dxa" w:w="2880"/>
            <w:shd w:fill="F8FAFC"/>
            <w:tcMar>
              <w:top w:w="70" w:type="dxa"/>
              <w:bottom w:w="70" w:type="dxa"/>
              <w:left w:w="90" w:type="dxa"/>
              <w:right w:w="90" w:type="dxa"/>
            </w:tcMar>
          </w:tcPr>
          <w:p>
            <w:r>
              <w:rPr>
                <w:rFonts w:ascii="Calibri" w:hAnsi="Calibri"/>
                <w:color w:val="0F172A"/>
                <w:sz w:val="17"/>
              </w:rPr>
              <w:t>Revisión manual subjetiva y tardía tras publicación.</w:t>
            </w:r>
          </w:p>
        </w:tc>
        <w:tc>
          <w:tcPr>
            <w:tcW w:type="dxa" w:w="3312"/>
            <w:shd w:fill="F8FAFC"/>
            <w:tcMar>
              <w:top w:w="70" w:type="dxa"/>
              <w:bottom w:w="70" w:type="dxa"/>
              <w:left w:w="90" w:type="dxa"/>
              <w:right w:w="90" w:type="dxa"/>
            </w:tcMar>
          </w:tcPr>
          <w:p>
            <w:r>
              <w:rPr>
                <w:rFonts w:ascii="Calibri" w:hAnsi="Calibri"/>
                <w:color w:val="0F172A"/>
                <w:sz w:val="17"/>
              </w:rPr>
              <w:t>Auditor IA instantáneo con calificación 0-100 y recomendaciones.</w:t>
            </w:r>
          </w:p>
        </w:tc>
        <w:tc>
          <w:tcPr>
            <w:tcW w:type="dxa" w:w="2448"/>
            <w:shd w:fill="F8FAFC"/>
            <w:tcMar>
              <w:top w:w="70" w:type="dxa"/>
              <w:bottom w:w="70" w:type="dxa"/>
              <w:left w:w="90" w:type="dxa"/>
              <w:right w:w="90" w:type="dxa"/>
            </w:tcMar>
          </w:tcPr>
          <w:p>
            <w:r>
              <w:rPr>
                <w:rFonts w:ascii="Calibri" w:hAnsi="Calibri"/>
                <w:color w:val="0F172A"/>
                <w:sz w:val="17"/>
              </w:rPr>
              <w:t>Cero procesos inconclusos en producción.</w:t>
            </w:r>
          </w:p>
        </w:tc>
      </w:tr>
      <w:tr>
        <w:tc>
          <w:tcPr>
            <w:tcW w:type="dxa" w:w="2160"/>
            <w:shd w:fill="FFFFFF"/>
            <w:tcMar>
              <w:top w:w="70" w:type="dxa"/>
              <w:bottom w:w="70" w:type="dxa"/>
              <w:left w:w="90" w:type="dxa"/>
              <w:right w:w="90" w:type="dxa"/>
            </w:tcMar>
          </w:tcPr>
          <w:p>
            <w:r>
              <w:rPr>
                <w:rFonts w:ascii="Calibri" w:hAnsi="Calibri"/>
                <w:b/>
                <w:color w:val="1E3A8A"/>
                <w:sz w:val="17"/>
              </w:rPr>
              <w:t>Integración Tecnológica</w:t>
            </w:r>
          </w:p>
        </w:tc>
        <w:tc>
          <w:tcPr>
            <w:tcW w:type="dxa" w:w="2880"/>
            <w:shd w:fill="FFFFFF"/>
            <w:tcMar>
              <w:top w:w="70" w:type="dxa"/>
              <w:bottom w:w="70" w:type="dxa"/>
              <w:left w:w="90" w:type="dxa"/>
              <w:right w:w="90" w:type="dxa"/>
            </w:tcMar>
          </w:tcPr>
          <w:p>
            <w:r>
              <w:rPr>
                <w:rFonts w:ascii="Calibri" w:hAnsi="Calibri"/>
                <w:color w:val="0F172A"/>
                <w:sz w:val="17"/>
              </w:rPr>
              <w:t>Herramientas aisladas sin noción de sistemas de la empresa.</w:t>
            </w:r>
          </w:p>
        </w:tc>
        <w:tc>
          <w:tcPr>
            <w:tcW w:type="dxa" w:w="3312"/>
            <w:shd w:fill="FFFFFF"/>
            <w:tcMar>
              <w:top w:w="70" w:type="dxa"/>
              <w:bottom w:w="70" w:type="dxa"/>
              <w:left w:w="90" w:type="dxa"/>
              <w:right w:w="90" w:type="dxa"/>
            </w:tcMar>
          </w:tcPr>
          <w:p>
            <w:r>
              <w:rPr>
                <w:rFonts w:ascii="Calibri" w:hAnsi="Calibri"/>
                <w:color w:val="0F172A"/>
                <w:sz w:val="17"/>
              </w:rPr>
              <w:t>Etiquetas nativas para Chronos, Freshdesk, Bria, WhatsApp.</w:t>
            </w:r>
          </w:p>
        </w:tc>
        <w:tc>
          <w:tcPr>
            <w:tcW w:type="dxa" w:w="2448"/>
            <w:shd w:fill="FFFFFF"/>
            <w:tcMar>
              <w:top w:w="70" w:type="dxa"/>
              <w:bottom w:w="70" w:type="dxa"/>
              <w:left w:w="90" w:type="dxa"/>
              <w:right w:w="90" w:type="dxa"/>
            </w:tcMar>
          </w:tcPr>
          <w:p>
            <w:r>
              <w:rPr>
                <w:rFonts w:ascii="Calibri" w:hAnsi="Calibri"/>
                <w:color w:val="0F172A"/>
                <w:sz w:val="17"/>
              </w:rPr>
              <w:t>Claridad absoluta para TI y Operaciones.</w:t>
            </w:r>
          </w:p>
        </w:tc>
      </w:tr>
      <w:tr>
        <w:tc>
          <w:tcPr>
            <w:tcW w:type="dxa" w:w="2160"/>
            <w:shd w:fill="F8FAFC"/>
            <w:tcMar>
              <w:top w:w="70" w:type="dxa"/>
              <w:bottom w:w="70" w:type="dxa"/>
              <w:left w:w="90" w:type="dxa"/>
              <w:right w:w="90" w:type="dxa"/>
            </w:tcMar>
          </w:tcPr>
          <w:p>
            <w:r>
              <w:rPr>
                <w:rFonts w:ascii="Calibri" w:hAnsi="Calibri"/>
                <w:b/>
                <w:color w:val="1E3A8A"/>
                <w:sz w:val="17"/>
              </w:rPr>
              <w:t>Almacenamiento &amp; Backup</w:t>
            </w:r>
          </w:p>
        </w:tc>
        <w:tc>
          <w:tcPr>
            <w:tcW w:type="dxa" w:w="2880"/>
            <w:shd w:fill="F8FAFC"/>
            <w:tcMar>
              <w:top w:w="70" w:type="dxa"/>
              <w:bottom w:w="70" w:type="dxa"/>
              <w:left w:w="90" w:type="dxa"/>
              <w:right w:w="90" w:type="dxa"/>
            </w:tcMar>
          </w:tcPr>
          <w:p>
            <w:r>
              <w:rPr>
                <w:rFonts w:ascii="Calibri" w:hAnsi="Calibri"/>
                <w:color w:val="0F172A"/>
                <w:sz w:val="17"/>
              </w:rPr>
              <w:t>Archivos dispersos en discos duros locales sin control.</w:t>
            </w:r>
          </w:p>
        </w:tc>
        <w:tc>
          <w:tcPr>
            <w:tcW w:type="dxa" w:w="3312"/>
            <w:shd w:fill="F8FAFC"/>
            <w:tcMar>
              <w:top w:w="70" w:type="dxa"/>
              <w:bottom w:w="70" w:type="dxa"/>
              <w:left w:w="90" w:type="dxa"/>
              <w:right w:w="90" w:type="dxa"/>
            </w:tcMar>
          </w:tcPr>
          <w:p>
            <w:r>
              <w:rPr>
                <w:rFonts w:ascii="Calibri" w:hAnsi="Calibri"/>
                <w:color w:val="0F172A"/>
                <w:sz w:val="17"/>
              </w:rPr>
              <w:t>Catálogo en Menú Archivo y respaldo en Shared Drive con SA.</w:t>
            </w:r>
          </w:p>
        </w:tc>
        <w:tc>
          <w:tcPr>
            <w:tcW w:type="dxa" w:w="2448"/>
            <w:shd w:fill="F8FAFC"/>
            <w:tcMar>
              <w:top w:w="70" w:type="dxa"/>
              <w:bottom w:w="70" w:type="dxa"/>
              <w:left w:w="90" w:type="dxa"/>
              <w:right w:w="90" w:type="dxa"/>
            </w:tcMar>
          </w:tcPr>
          <w:p>
            <w:r>
              <w:rPr>
                <w:rFonts w:ascii="Calibri" w:hAnsi="Calibri"/>
                <w:color w:val="0F172A"/>
                <w:sz w:val="17"/>
              </w:rPr>
              <w:t>Seguridad, control de versiones y gobierno.</w:t>
            </w:r>
          </w:p>
        </w:tc>
      </w:tr>
    </w:tbl>
    <w:p>
      <w:pPr>
        <w:spacing w:after="160"/>
      </w:pPr>
    </w:p>
    <w:p>
      <w:pPr>
        <w:spacing w:before="280" w:after="100"/>
      </w:pPr>
      <w:r>
        <w:rPr>
          <w:rFonts w:ascii="Calibri" w:hAnsi="Calibri"/>
          <w:b/>
          <w:color w:val="1E3A8A"/>
          <w:sz w:val="26"/>
        </w:rPr>
        <w:t>6. Conclusiones y Plan de Habilitación Tecnológica</w:t>
      </w:r>
    </w:p>
    <w:p>
      <w:pPr>
        <w:spacing w:after="80" w:line="276" w:lineRule="auto"/>
      </w:pPr>
      <w:r>
        <w:rPr>
          <w:rFonts w:ascii="Calibri" w:hAnsi="Calibri"/>
          <w:color w:val="0F172A"/>
          <w:sz w:val="19"/>
        </w:rPr>
        <w:t>El diagnóstico evidencia que la dependencia de Lucidchart y la redacción manual en Word generaban un cuello de botella severo y un costo injustificado. La Suite TEMIS resuelve integralmente esta problemática al unificar la captura Six Sigma, el modelado visual inteligente y la redacción automatizada con IA en una plataforma soberana en la nube.</w:t>
      </w:r>
    </w:p>
    <w:p>
      <w:pPr>
        <w:spacing w:after="80" w:line="276" w:lineRule="auto"/>
      </w:pPr>
      <w:r>
        <w:rPr>
          <w:rFonts w:ascii="Calibri" w:hAnsi="Calibri"/>
          <w:color w:val="0F172A"/>
          <w:sz w:val="19"/>
        </w:rPr>
        <w:t>El plan de habilitación comprende:</w:t>
      </w:r>
    </w:p>
    <w:p>
      <w:pPr>
        <w:spacing w:after="80" w:line="276" w:lineRule="auto"/>
      </w:pPr>
      <w:r>
        <w:rPr>
          <w:rFonts w:ascii="Calibri" w:hAnsi="Calibri"/>
          <w:color w:val="0F172A"/>
          <w:sz w:val="19"/>
        </w:rPr>
        <w:t>• Despliegue de TEMIS Web Flow en Render Cloud con base de datos PostgreSQL administrada.</w:t>
      </w:r>
    </w:p>
    <w:p>
      <w:pPr>
        <w:spacing w:after="80" w:line="276" w:lineRule="auto"/>
      </w:pPr>
      <w:r>
        <w:rPr>
          <w:rFonts w:ascii="Calibri" w:hAnsi="Calibri"/>
          <w:color w:val="0F172A"/>
          <w:sz w:val="19"/>
        </w:rPr>
        <w:t>• Migración masiva de diagramas existentes de Lucidchart mediante el Parser Nativo 1-a-1.</w:t>
      </w:r>
    </w:p>
    <w:p>
      <w:pPr>
        <w:spacing w:after="80" w:line="276" w:lineRule="auto"/>
      </w:pPr>
      <w:r>
        <w:rPr>
          <w:rFonts w:ascii="Calibri" w:hAnsi="Calibri"/>
          <w:color w:val="0F172A"/>
          <w:sz w:val="19"/>
        </w:rPr>
        <w:t>• Conexión de la Service Account (maxibot-sa) a la Unidad Compartida de Google Workspace para respaldo automático.</w:t>
      </w:r>
    </w:p>
    <w:p>
      <w:pPr>
        <w:spacing w:after="80" w:line="276" w:lineRule="auto"/>
      </w:pPr>
      <w:r>
        <w:rPr>
          <w:rFonts w:ascii="Calibri" w:hAnsi="Calibri"/>
          <w:color w:val="0F172A"/>
          <w:sz w:val="19"/>
        </w:rPr>
        <w:t>• Capacitación del 100% de los analistas de procesos en el uso del Pipeline de 3 Pasos (SIPOC ➔ Flujo ➔ Narrativa).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