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563EB"/>
          <w:sz w:val="18"/>
        </w:rPr>
        <w:t>TEMIS PROCESS SUITE  |  MARCO METODOLÓGICO &amp; GOBERNANZA CORPORATIVA</w:t>
      </w:r>
    </w:p>
    <w:p>
      <w:pPr>
        <w:spacing w:after="80"/>
      </w:pPr>
      <w:r>
        <w:rPr>
          <w:rFonts w:ascii="Calibri" w:hAnsi="Calibri"/>
          <w:b/>
          <w:color w:val="1E3A8A"/>
          <w:sz w:val="40"/>
        </w:rPr>
        <w:t>Marco de Trabajo para la Gestión y Gobernanza del Proyecto TEMIS</w:t>
      </w:r>
    </w:p>
    <w:p>
      <w:pPr>
        <w:spacing w:after="280"/>
      </w:pPr>
      <w:r>
        <w:rPr>
          <w:rFonts w:ascii="Calibri" w:hAnsi="Calibri"/>
          <w:i/>
          <w:color w:val="475569"/>
          <w:sz w:val="21"/>
        </w:rPr>
        <w:t>Estándar Metodológico Corporativo, Ciclo de Vida en 7 Fases, Matriz RACI, Gestión de Riesgos y Control de Calidad Six Sigma.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Iniciativa: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Proyecto TEMIS (BPMN Suite &amp; Governance)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Código: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TEMIS-GOV-2026-V1</w:t>
            </w:r>
          </w:p>
        </w:tc>
      </w:tr>
      <w:tr>
        <w:tc>
          <w:tcPr>
            <w:tcW w:type="dxa" w:w="216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Sponsor: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Dirección de Operaciones &amp; Tecnología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Project Lead: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Ing. Mario Hurtado</w:t>
            </w:r>
          </w:p>
        </w:tc>
      </w:tr>
      <w:tr>
        <w:tc>
          <w:tcPr>
            <w:tcW w:type="dxa" w:w="216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Periodo Oficial: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16 Ene 2026 – 04 Dic 2026</w:t>
            </w:r>
          </w:p>
        </w:tc>
        <w:tc>
          <w:tcPr>
            <w:tcW w:type="dxa" w:w="2160"/>
            <w:shd w:fill="F1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Estatus: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Línea Base Oficial Aprobada</w:t>
            </w:r>
          </w:p>
        </w:tc>
      </w:tr>
    </w:tbl>
    <w:p>
      <w:pPr>
        <w:spacing w:after="200"/>
      </w:pPr>
    </w:p>
    <w:p>
      <w:pPr>
        <w:spacing w:before="280" w:after="100"/>
      </w:pPr>
      <w:r>
        <w:rPr>
          <w:rFonts w:ascii="Calibri" w:hAnsi="Calibri"/>
          <w:b/>
          <w:color w:val="1E3A8A"/>
          <w:sz w:val="26"/>
        </w:rPr>
        <w:t>1. Propósito y Principios Rectores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19"/>
        </w:rPr>
        <w:t>El presente Marco de Trabajo establece la metodología oficial para la gobernanza, diseño, estandarización y ciclo de vida de procesos operativos en la organización utilizando la Suite TEMIS.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19"/>
        </w:rPr>
        <w:t xml:space="preserve">• </w:t>
      </w:r>
      <w:r>
        <w:rPr>
          <w:rFonts w:ascii="Calibri" w:hAnsi="Calibri"/>
          <w:color w:val="0F172A"/>
          <w:sz w:val="19"/>
        </w:rPr>
        <w:t>1. Soberanía Tecnológica y Cero Licenciamiento Externo: Erradicación absoluta de la dependencia de herramientas de terceros sujetas a costosas rentas mensuales por usuario (Lucidchart, Miro, Visio), asegurando que el activo intelectual de procesos resida en infraestructura propia y segura.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19"/>
        </w:rPr>
        <w:t xml:space="preserve">• </w:t>
      </w:r>
      <w:r>
        <w:rPr>
          <w:rFonts w:ascii="Calibri" w:hAnsi="Calibri"/>
          <w:color w:val="0F172A"/>
          <w:sz w:val="19"/>
        </w:rPr>
        <w:t>2. El Pipeline Automatizado de 3 Pasos: Toda iniciativa de procesos debe construirse bajo el flujo unidireccional y sin fricción: (a) Captura estructurada en Matriz SIPOC Six Sigma ➔ (b) Generación instantánea del Diagrama de Flujo Bézier ➔ (c) Redacción automática del Manual de Políticas y Procedimientos en texto continuo mediante Gemini 2.5 Flash.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19"/>
        </w:rPr>
        <w:t xml:space="preserve">• </w:t>
      </w:r>
      <w:r>
        <w:rPr>
          <w:rFonts w:ascii="Calibri" w:hAnsi="Calibri"/>
          <w:color w:val="0F172A"/>
          <w:sz w:val="19"/>
        </w:rPr>
        <w:t>3. Auditoría de Calidad Determinista (Score 0-100): Implementación obligatoria de validaciones estructurales en tiempo real para impedir que procesos con compuertas de decisión huérfanas, actividades sin sistema asignado o rutas truncadas pasen a producción.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19"/>
        </w:rPr>
        <w:t xml:space="preserve">• </w:t>
      </w:r>
      <w:r>
        <w:rPr>
          <w:rFonts w:ascii="Calibri" w:hAnsi="Calibri"/>
          <w:color w:val="0F172A"/>
          <w:sz w:val="19"/>
        </w:rPr>
        <w:t>4. Gestión Basada en Evidencias (Evidence-Based Management): Monitoreo transparente del avance del proyecto a través de Daily Logs, control de desviaciones y trazabilidad de entregables por fase.</w:t>
      </w:r>
    </w:p>
    <w:p>
      <w:pPr>
        <w:spacing w:before="280" w:after="100"/>
      </w:pPr>
      <w:r>
        <w:rPr>
          <w:rFonts w:ascii="Calibri" w:hAnsi="Calibri"/>
          <w:b/>
          <w:color w:val="1E3A8A"/>
          <w:sz w:val="26"/>
        </w:rPr>
        <w:t>2. Estructura de Roles y Matriz RACI de Gobernanza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19"/>
        </w:rPr>
        <w:t>Para garantizar una ejecución disciplinada, se establece la matriz de roles y responsabilidades corporativas: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  <w:tc>
          <w:tcPr>
            <w:tcW w:type="dxa" w:w="288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Responsable / Área</w:t>
            </w:r>
          </w:p>
        </w:tc>
        <w:tc>
          <w:tcPr>
            <w:tcW w:type="dxa" w:w="5328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Responsabilidad Principal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Sponsor Ejecutivo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Dirección de Operaciones &amp; Tecnología</w:t>
            </w:r>
          </w:p>
        </w:tc>
        <w:tc>
          <w:tcPr>
            <w:tcW w:type="dxa" w:w="53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Aprobación estratégica, validación del Project Charter, financiamiento y remoción de bloqueos organizacionales.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Project Lead / PM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Ing. Mario Hurtado (Área Técnica)</w:t>
            </w:r>
          </w:p>
        </w:tc>
        <w:tc>
          <w:tcPr>
            <w:tcW w:type="dxa" w:w="53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Gestión integral del proyecto, aseguramiento del Roadmap 2026, control de calidad y cumplimiento de hitos.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Product Owner (PO)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Líder de Procesos &amp; Negocio</w:t>
            </w:r>
          </w:p>
        </w:tc>
        <w:tc>
          <w:tcPr>
            <w:tcW w:type="dxa" w:w="53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Definición y priorización del Backlog funcional, validación de plantillas SIPOC y criterios de aceptación.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Tech &amp; Architecture Lead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Equipo de Arquitectura de Software</w:t>
            </w:r>
          </w:p>
        </w:tc>
        <w:tc>
          <w:tcPr>
            <w:tcW w:type="dxa" w:w="53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Diseño e implementación de la arquitectura full-stack (Reflex, FastAPI, PostgreSQL, Render Cloud).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AI &amp; Automation Specialist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Área de Innovación e IA</w:t>
            </w:r>
          </w:p>
        </w:tc>
        <w:tc>
          <w:tcPr>
            <w:tcW w:type="dxa" w:w="53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Ingeniería de prompts, integración de Gemini 2.5 Flash para generación de narrativa y motor de auditoría.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Process &amp; QA Auditor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Comité de Calidad y Procesos</w:t>
            </w:r>
          </w:p>
        </w:tc>
        <w:tc>
          <w:tcPr>
            <w:tcW w:type="dxa" w:w="53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Auditoría de manuales de procedimientos, verificación Six Sigma de diagramas y certificación UAT.</w:t>
            </w:r>
          </w:p>
        </w:tc>
      </w:tr>
    </w:tbl>
    <w:p>
      <w:pPr>
        <w:spacing w:after="160"/>
      </w:pPr>
    </w:p>
    <w:p>
      <w:pPr>
        <w:spacing w:before="200" w:after="60"/>
      </w:pPr>
      <w:r>
        <w:rPr>
          <w:rFonts w:ascii="Calibri" w:hAnsi="Calibri"/>
          <w:b/>
          <w:color w:val="2563EB"/>
          <w:sz w:val="22"/>
        </w:rPr>
        <w:t>Matriz RACI por Fase del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31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Fase de Gobernanza</w:t>
            </w:r>
          </w:p>
        </w:tc>
        <w:tc>
          <w:tcPr>
            <w:tcW w:type="dxa" w:w="14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Sponsor</w:t>
            </w:r>
          </w:p>
        </w:tc>
        <w:tc>
          <w:tcPr>
            <w:tcW w:type="dxa" w:w="1584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Project Lead</w:t>
            </w:r>
          </w:p>
        </w:tc>
        <w:tc>
          <w:tcPr>
            <w:tcW w:type="dxa" w:w="1584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Product Owner</w:t>
            </w:r>
          </w:p>
        </w:tc>
        <w:tc>
          <w:tcPr>
            <w:tcW w:type="dxa" w:w="14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Tech Lead</w:t>
            </w:r>
          </w:p>
        </w:tc>
        <w:tc>
          <w:tcPr>
            <w:tcW w:type="dxa" w:w="14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Process QA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F1: Diagnóstico Estratégico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Aprobador (A)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Responsable (R)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Consultado (C)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Consultado (C)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Informado (I)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F2: Inicio del Proyecto (Charter)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Aprobador (A)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Responsable (R)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Responsable (R)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Consultado (C)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Informado (I)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F3: Planificación Híbrida &amp; Backlog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Informado (I)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Responsable (R)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Responsable (R)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Responsable (R)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Consultado (C)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F4: Ejecución Iterativa (Sprints)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Informado (I)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Responsable (R)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Consultado (C)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Responsable (R)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Consultado (C)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F5: Monitoreo y Auditoría IA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Consultado (C)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Responsable (R)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Consultado (C)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Consultado (C)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Responsable (R)</w:t>
            </w:r>
          </w:p>
        </w:tc>
      </w:tr>
      <w:tr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F6: Mejora Continua (Kaizen)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Informado (I)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Responsable (R)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Responsable (R)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Consultado (C)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Responsable (R)</w:t>
            </w:r>
          </w:p>
        </w:tc>
      </w:tr>
      <w:tr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F7: Cierre del Proyecto &amp; Traspaso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Aprobador (A)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Responsable (R)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Responsable (R)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Informado (I)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Responsable (R)</w:t>
            </w:r>
          </w:p>
        </w:tc>
      </w:tr>
    </w:tbl>
    <w:p>
      <w:pPr>
        <w:spacing w:after="160"/>
      </w:pPr>
    </w:p>
    <w:p>
      <w:pPr>
        <w:spacing w:before="280" w:after="100"/>
      </w:pPr>
      <w:r>
        <w:rPr>
          <w:rFonts w:ascii="Calibri" w:hAnsi="Calibri"/>
          <w:b/>
          <w:color w:val="1E3A8A"/>
          <w:sz w:val="26"/>
        </w:rPr>
        <w:t>3. El Ciclo de Vida Metodológico en 7 Fases Corporativas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19"/>
        </w:rPr>
        <w:t>El estándar TEMIS estructura la gestión de cualquier iniciativa de procesos en 7 fases secuenciales y auditables: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19"/>
        </w:rPr>
        <w:t xml:space="preserve">• Fase 1: Diagnóstico Estratégico: </w:t>
      </w:r>
      <w:r>
        <w:rPr>
          <w:rFonts w:ascii="Calibri" w:hAnsi="Calibri"/>
          <w:color w:val="0F172A"/>
          <w:sz w:val="19"/>
        </w:rPr>
        <w:t>Identificación de problemas operativos, mapeo del flujo AS-IS, cálculo del costo financiero de licencias externas (Lucidchart) y análisis de viabilidad técnica.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19"/>
        </w:rPr>
        <w:t xml:space="preserve">• Fase 2: Inicio del Proyecto: </w:t>
      </w:r>
      <w:r>
        <w:rPr>
          <w:rFonts w:ascii="Calibri" w:hAnsi="Calibri"/>
          <w:color w:val="0F172A"/>
          <w:sz w:val="19"/>
        </w:rPr>
        <w:t>Formalización del Project Charter, delimitación del alcance (In-Scope / Out-of-Scope), definición del Product Goal y registro de la matriz de interesados.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19"/>
        </w:rPr>
        <w:t xml:space="preserve">• Fase 3: Planificación Híbrida: </w:t>
      </w:r>
      <w:r>
        <w:rPr>
          <w:rFonts w:ascii="Calibri" w:hAnsi="Calibri"/>
          <w:color w:val="0F172A"/>
          <w:sz w:val="19"/>
        </w:rPr>
        <w:t>Construcción del Backlog Técnico Scrum, estimación de Story Points, definición de arquitectura técnica, matriz de riesgos y acuerdos de nivel de servicio (SLA).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19"/>
        </w:rPr>
        <w:t xml:space="preserve">• Fase 4: Ejecución Iterativa: </w:t>
      </w:r>
      <w:r>
        <w:rPr>
          <w:rFonts w:ascii="Calibri" w:hAnsi="Calibri"/>
          <w:color w:val="0F172A"/>
          <w:sz w:val="19"/>
        </w:rPr>
        <w:t>Desarrollo de incrementos de software mediante Sprints de 2 a 4 semanas, Daily Logs de seguimiento técnico y generación de entregables de código.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19"/>
        </w:rPr>
        <w:t xml:space="preserve">• Fase 5: Monitoreo y Control: </w:t>
      </w:r>
      <w:r>
        <w:rPr>
          <w:rFonts w:ascii="Calibri" w:hAnsi="Calibri"/>
          <w:color w:val="0F172A"/>
          <w:sz w:val="19"/>
        </w:rPr>
        <w:t>Evaluación continua del semáforo del proyecto (Alcance, Tiempo, Costo, Calidad/UX), ejecución del Auditor IA de Procesos (0-100) y control estricto de solicitudes de cambio.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19"/>
        </w:rPr>
        <w:t xml:space="preserve">• Fase 6: Mejora Continua: </w:t>
      </w:r>
      <w:r>
        <w:rPr>
          <w:rFonts w:ascii="Calibri" w:hAnsi="Calibri"/>
          <w:color w:val="0F172A"/>
          <w:sz w:val="19"/>
        </w:rPr>
        <w:t>Sesiones de retrospectiva post-sprint, optimización Kaizen de flujos y algoritmos de ruteo SVG Bézier, integración de feedback de analistas de negocio.</w:t>
      </w:r>
    </w:p>
    <w:p>
      <w:pPr>
        <w:spacing w:after="80" w:line="276" w:lineRule="auto"/>
      </w:pPr>
      <w:r>
        <w:rPr>
          <w:rFonts w:ascii="Calibri" w:hAnsi="Calibri"/>
          <w:b/>
          <w:color w:val="0F172A"/>
          <w:sz w:val="19"/>
        </w:rPr>
        <w:t xml:space="preserve">• Fase 7: Cierre del Proyecto: </w:t>
      </w:r>
      <w:r>
        <w:rPr>
          <w:rFonts w:ascii="Calibri" w:hAnsi="Calibri"/>
          <w:color w:val="0F172A"/>
          <w:sz w:val="19"/>
        </w:rPr>
        <w:t>Evaluación de captura de valor contra el Product Goal, firma del Acta de Cierre formal, exportación del paquete .temis.json y traspaso definitivo a operaciones.</w:t>
      </w:r>
    </w:p>
    <w:p>
      <w:pPr>
        <w:spacing w:before="280" w:after="100"/>
      </w:pPr>
      <w:r>
        <w:rPr>
          <w:rFonts w:ascii="Calibri" w:hAnsi="Calibri"/>
          <w:b/>
          <w:color w:val="1E3A8A"/>
          <w:sz w:val="26"/>
        </w:rPr>
        <w:t>4. Matriz de Gestión de Riesgos y Estrategias de Mitigación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312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Riesgo Identificado</w:t>
            </w:r>
          </w:p>
        </w:tc>
        <w:tc>
          <w:tcPr>
            <w:tcW w:type="dxa" w:w="1728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Prob. / Impacto</w:t>
            </w:r>
          </w:p>
        </w:tc>
        <w:tc>
          <w:tcPr>
            <w:tcW w:type="dxa" w:w="360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Estrategia de Mitigación</w:t>
            </w:r>
          </w:p>
        </w:tc>
        <w:tc>
          <w:tcPr>
            <w:tcW w:type="dxa" w:w="1440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R-01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Resistencia de usuarios al cambio desde Lucidchart.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Media / Alto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Capacitaciones prácticas, interfaz gemela (Dock + Inspector) e importador 1-clic de Lucidchart.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PO / PM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R-02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Inconsistencias en generación de texto con IA (alucinación).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Baja / Medio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Implementación de Gemini 2.5 Flash con prompts rígidos basados estrictamente en la matriz SIPOC.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AI Specialist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R-03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Cuellos de botella en renderizado de diagramas gigantes (+500 nodos).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Baja / Alto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Virtualización de canvas SVG, optimización de árboles DOM y ruteo perimetral compilado.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Tech Lead</w:t>
            </w:r>
          </w:p>
        </w:tc>
      </w:tr>
      <w:tr>
        <w:tc>
          <w:tcPr>
            <w:tcW w:type="dxa" w:w="72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R-04</w:t>
            </w:r>
          </w:p>
        </w:tc>
        <w:tc>
          <w:tcPr>
            <w:tcW w:type="dxa" w:w="3312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Pérdida de datos por desconexión en clientes web.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Media / Alto</w:t>
            </w:r>
          </w:p>
        </w:tc>
        <w:tc>
          <w:tcPr>
            <w:tcW w:type="dxa" w:w="360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Mecanismo de auto-guardado reactivo (debounced 2s) en PostgreSQL y exportación .temis.json local.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Tech Lead</w:t>
            </w:r>
          </w:p>
        </w:tc>
      </w:tr>
      <w:tr>
        <w:tc>
          <w:tcPr>
            <w:tcW w:type="dxa" w:w="72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R-05</w:t>
            </w:r>
          </w:p>
        </w:tc>
        <w:tc>
          <w:tcPr>
            <w:tcW w:type="dxa" w:w="3312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Falta de estandarización en nombres de sistemas (ej. Chronos/ERP).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Media / Medio</w:t>
            </w:r>
          </w:p>
        </w:tc>
        <w:tc>
          <w:tcPr>
            <w:tcW w:type="dxa" w:w="360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Catálogo cerrado de sistemas y canales en el Dock izquierdo y validación automática del Auditor IA.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Process QA</w:t>
            </w:r>
          </w:p>
        </w:tc>
      </w:tr>
    </w:tbl>
    <w:p>
      <w:pPr>
        <w:spacing w:after="160"/>
      </w:pPr>
    </w:p>
    <w:p>
      <w:pPr>
        <w:spacing w:before="280" w:after="100"/>
      </w:pPr>
      <w:r>
        <w:rPr>
          <w:rFonts w:ascii="Calibri" w:hAnsi="Calibri"/>
          <w:b/>
          <w:color w:val="1E3A8A"/>
          <w:sz w:val="26"/>
        </w:rPr>
        <w:t>5. Estándar de Calidad Six Sigma y Reglas del Auditor de Procesos (0-100)</w:t>
      </w:r>
    </w:p>
    <w:p>
      <w:pPr>
        <w:spacing w:after="80" w:line="276" w:lineRule="auto"/>
      </w:pPr>
      <w:r>
        <w:rPr>
          <w:rFonts w:ascii="Calibri" w:hAnsi="Calibri"/>
          <w:color w:val="0F172A"/>
          <w:sz w:val="19"/>
        </w:rPr>
        <w:t>El motor inteligente de TEMIS califica automáticamente la salud de cualquier diagrama en tiempo real basándose en 10 reglas deterministas de calidad: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4896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Criterio de Validación</w:t>
            </w:r>
          </w:p>
        </w:tc>
        <w:tc>
          <w:tcPr>
            <w:tcW w:type="dxa" w:w="1584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Penalización</w:t>
            </w:r>
          </w:p>
        </w:tc>
        <w:tc>
          <w:tcPr>
            <w:tcW w:type="dxa" w:w="3456"/>
            <w:shd w:fill="1E3A8A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Impacto Six Sigma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R-01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Presencia obligatoria de exactamente 1 Nodo de Inicio (Circle-Play)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-25 pts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Crítico: Proceso sin detonador claro.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R-02</w:t>
            </w:r>
          </w:p>
        </w:tc>
        <w:tc>
          <w:tcPr>
            <w:tcW w:type="dxa" w:w="48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Presencia de al menos 1 Nodo de Fin (Circle-Stop)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-20 pts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Crítico: Flujo infinito o inconcluso.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R-03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Compuertas de decisión (Rombos) deben tener al menos 2 salidas (Sí/No)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-15 pts c/u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Grave: Decisión ciega sin camino alterno.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R-04</w:t>
            </w:r>
          </w:p>
        </w:tc>
        <w:tc>
          <w:tcPr>
            <w:tcW w:type="dxa" w:w="48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Toda actividad debe tener asignado un Sistema Tecnológico (ej. Chronos)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-5 pts c/u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Moderado: Falta de especificación de TI.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R-05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Toda actividad debe tener asignado un Canal de Comunicación (ej. WhatsApp)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-5 pts c/u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Moderado: Falta de medio de contacto.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R-06</w:t>
            </w:r>
          </w:p>
        </w:tc>
        <w:tc>
          <w:tcPr>
            <w:tcW w:type="dxa" w:w="48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Numeración secuencial y biunívoca en Matriz SIPOC (1.0..N)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-10 pts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Moderado: Desalineación con manual escrito.</w:t>
            </w:r>
          </w:p>
        </w:tc>
      </w:tr>
      <w:tr>
        <w:tc>
          <w:tcPr>
            <w:tcW w:type="dxa" w:w="86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R-07</w:t>
            </w:r>
          </w:p>
        </w:tc>
        <w:tc>
          <w:tcPr>
            <w:tcW w:type="dxa" w:w="489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Conectores sin cruces de texto (Ruteo perimetral Este ➔ Oeste)</w:t>
            </w:r>
          </w:p>
        </w:tc>
        <w:tc>
          <w:tcPr>
            <w:tcW w:type="dxa" w:w="1584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-5 pts</w:t>
            </w:r>
          </w:p>
        </w:tc>
        <w:tc>
          <w:tcPr>
            <w:tcW w:type="dxa" w:w="3456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Menor: Legibilidad visual deficiente.</w:t>
            </w:r>
          </w:p>
        </w:tc>
      </w:tr>
      <w:tr>
        <w:tc>
          <w:tcPr>
            <w:tcW w:type="dxa" w:w="86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R-08</w:t>
            </w:r>
          </w:p>
        </w:tc>
        <w:tc>
          <w:tcPr>
            <w:tcW w:type="dxa" w:w="489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Campos obligatorios completos en Ficha del Proyecto (Charter)</w:t>
            </w:r>
          </w:p>
        </w:tc>
        <w:tc>
          <w:tcPr>
            <w:tcW w:type="dxa" w:w="158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-10 pts</w:t>
            </w:r>
          </w:p>
        </w:tc>
        <w:tc>
          <w:tcPr>
            <w:tcW w:type="dxa" w:w="3456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Calibri" w:hAnsi="Calibri"/>
                <w:color w:val="0F172A"/>
                <w:sz w:val="17"/>
              </w:rPr>
              <w:t>Grave: Falta de gobernanza y sponsor.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