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Report 2026</w:t>
      </w:r>
    </w:p>
    <w:p>
      <w:r>
        <w:t>Executive summary paragraph.</w:t>
      </w:r>
    </w:p>
    <w:p>
      <w:pPr>
        <w:pStyle w:val="Heading2"/>
      </w:pPr>
      <w:r>
        <w:t>Financial Overview</w:t>
      </w:r>
    </w:p>
    <w:p>
      <w:r>
        <w:t>Revenue increased by 12% year-over-year.</w:t>
      </w:r>
    </w:p>
    <w:p>
      <w:pPr>
        <w:pStyle w:val="Heading3"/>
      </w:pPr>
      <w:r>
        <w:t>Revenue Breakdown</w:t>
      </w:r>
    </w:p>
    <w:p>
      <w:r>
        <w:t>North America accounted for 60% of total revenue.</w:t>
      </w:r>
    </w:p>
    <w:p>
      <w:pPr>
        <w:pStyle w:val="Heading2"/>
      </w:pPr>
      <w:r>
        <w:t>Operations</w:t>
      </w:r>
    </w:p>
    <w:p>
      <w:r>
        <w:t>Operational efficiency improved across all divisions.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