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6955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_Toc10029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 </w:t>
          </w:r>
          <w:r>
            <w:rPr>
              <w:rFonts w:hint="eastAsia"/>
              <w:lang w:val="en-US" w:eastAsia="zh-CN"/>
            </w:rPr>
            <w:t>PC端登录</w:t>
          </w:r>
          <w:r>
            <w:tab/>
          </w:r>
          <w:r>
            <w:fldChar w:fldCharType="begin"/>
          </w:r>
          <w:r>
            <w:instrText xml:space="preserve"> PAGEREF _Toc10029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_Toc11478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1.1 </w:t>
          </w:r>
          <w:r>
            <w:rPr>
              <w:rFonts w:hint="eastAsia"/>
              <w:lang w:val="en-US" w:eastAsia="zh-CN"/>
            </w:rPr>
            <w:t>安装客户端</w:t>
          </w:r>
          <w:r>
            <w:tab/>
          </w:r>
          <w:r>
            <w:fldChar w:fldCharType="begin"/>
          </w:r>
          <w:r>
            <w:instrText xml:space="preserve"> PAGEREF _Toc11478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_Toc6478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1.1.1 下载客户端</w:t>
          </w:r>
          <w:r>
            <w:tab/>
          </w:r>
          <w:r>
            <w:fldChar w:fldCharType="begin"/>
          </w:r>
          <w:r>
            <w:instrText xml:space="preserve"> PAGEREF _Toc6478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_Toc9790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1.1.2 安装客户端</w:t>
          </w:r>
          <w:r>
            <w:tab/>
          </w:r>
          <w:r>
            <w:fldChar w:fldCharType="begin"/>
          </w:r>
          <w:r>
            <w:instrText xml:space="preserve"> PAGEREF _Toc9790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_Toc26713 </w:instrText>
          </w:r>
          <w:r>
            <w:fldChar w:fldCharType="separate"/>
          </w:r>
          <w:r>
            <w:t xml:space="preserve">1.2 </w:t>
          </w:r>
          <w:r>
            <w:rPr>
              <w:rFonts w:hint="eastAsia"/>
              <w:lang w:val="en-US" w:eastAsia="zh-CN"/>
            </w:rPr>
            <w:t>认证客户端</w:t>
          </w:r>
          <w:r>
            <w:tab/>
          </w:r>
          <w:r>
            <w:fldChar w:fldCharType="begin"/>
          </w:r>
          <w:r>
            <w:instrText xml:space="preserve"> PAGEREF _Toc26713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1.2.1 </w:t>
          </w:r>
          <w:r>
            <w:rPr>
              <w:rFonts w:hint="eastAsia"/>
              <w:lang w:val="en-US" w:eastAsia="zh-CN"/>
            </w:rPr>
            <w:t>域认证阶段</w:t>
          </w:r>
          <w:r>
            <w:tab/>
          </w:r>
          <w:r>
            <w:fldChar w:fldCharType="begin"/>
          </w:r>
          <w:r>
            <w:instrText xml:space="preserve"> PAGEREF _Toc1913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_Toc22838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1.2.2 </w:t>
          </w:r>
          <w:r>
            <w:rPr>
              <w:rFonts w:hint="eastAsia"/>
              <w:lang w:val="en-US" w:eastAsia="zh-CN"/>
            </w:rPr>
            <w:t>令牌认证阶段</w:t>
          </w:r>
          <w:r>
            <w:tab/>
          </w:r>
          <w:r>
            <w:fldChar w:fldCharType="begin"/>
          </w:r>
          <w:r>
            <w:instrText xml:space="preserve"> PAGEREF _Toc22838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_Toc30809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1.3 </w:t>
          </w:r>
          <w:r>
            <w:rPr>
              <w:rFonts w:hint="eastAsia"/>
              <w:lang w:val="en-US" w:eastAsia="zh-CN"/>
            </w:rPr>
            <w:t>登录客户端</w:t>
          </w:r>
          <w:r>
            <w:tab/>
          </w:r>
          <w:r>
            <w:fldChar w:fldCharType="begin"/>
          </w:r>
          <w:r>
            <w:instrText xml:space="preserve"> PAGEREF _Toc30809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_Toc14545 </w:instrText>
          </w:r>
          <w:r>
            <w:fldChar w:fldCharType="separate"/>
          </w:r>
          <w:r>
            <w:t xml:space="preserve">2 </w:t>
          </w:r>
          <w:r>
            <w:rPr>
              <w:rFonts w:hint="eastAsia"/>
              <w:lang w:val="en-US" w:eastAsia="zh-CN"/>
            </w:rPr>
            <w:t>移动端登录</w:t>
          </w:r>
          <w:r>
            <w:tab/>
          </w:r>
          <w:r>
            <w:fldChar w:fldCharType="begin"/>
          </w:r>
          <w:r>
            <w:instrText xml:space="preserve"> PAGEREF _Toc14545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_Toc19697 </w:instrText>
          </w:r>
          <w:r>
            <w:fldChar w:fldCharType="separate"/>
          </w:r>
          <w:r>
            <w:t xml:space="preserve">3 </w:t>
          </w:r>
          <w:r>
            <w:rPr>
              <w:rFonts w:hint="eastAsia"/>
              <w:lang w:val="en-US" w:eastAsia="zh-CN"/>
            </w:rPr>
            <w:t>FAQ</w:t>
          </w:r>
          <w:r>
            <w:tab/>
          </w:r>
          <w:r>
            <w:fldChar w:fldCharType="begin"/>
          </w:r>
          <w:r>
            <w:instrText xml:space="preserve"> PAGEREF _Toc19697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_Toc16997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3.1 </w:t>
          </w:r>
          <w:r>
            <w:rPr>
              <w:rFonts w:hint="eastAsia"/>
              <w:lang w:val="en-US" w:eastAsia="zh-CN"/>
            </w:rPr>
            <w:t>奇安信令牌ID无法登录</w:t>
          </w:r>
          <w:r>
            <w:tab/>
          </w:r>
          <w:r>
            <w:fldChar w:fldCharType="begin"/>
          </w:r>
          <w:r>
            <w:instrText xml:space="preserve"> PAGEREF _Toc16997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rPr>
          <w:rFonts w:ascii="黑体" w:hAnsi="黑体" w:eastAsia="黑体"/>
          <w:sz w:val="36"/>
          <w:szCs w:val="36"/>
        </w:rPr>
      </w:pPr>
      <w:r>
        <w:rPr>
          <w:rFonts w:hint="eastAsia" w:ascii="黑体" w:hAnsi="黑体" w:eastAsia="黑体"/>
          <w:sz w:val="36"/>
          <w:szCs w:val="36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bookmarkStart w:id="0" w:name="_Toc10029"/>
      <w:r>
        <w:rPr>
          <w:rFonts w:hint="eastAsia"/>
          <w:lang w:val="en-US" w:eastAsia="zh-CN"/>
        </w:rPr>
        <w:t>PC端登录</w:t>
      </w:r>
      <w:bookmarkEnd w:id="0"/>
    </w:p>
    <w:p>
      <w:pPr>
        <w:pStyle w:val="3"/>
        <w:bidi w:val="0"/>
        <w:rPr>
          <w:rFonts w:hint="default"/>
          <w:lang w:val="en-US" w:eastAsia="zh-CN"/>
        </w:rPr>
      </w:pPr>
      <w:bookmarkStart w:id="1" w:name="_Toc11478"/>
      <w:r>
        <w:rPr>
          <w:rFonts w:hint="eastAsia"/>
          <w:lang w:val="en-US" w:eastAsia="zh-CN"/>
        </w:rPr>
        <w:t>安装客户端</w:t>
      </w:r>
      <w:bookmarkEnd w:id="1"/>
    </w:p>
    <w:p>
      <w:pPr>
        <w:pStyle w:val="4"/>
        <w:bidi w:val="0"/>
        <w:rPr>
          <w:rFonts w:hint="eastAsia"/>
          <w:lang w:val="en-US" w:eastAsia="zh-CN"/>
        </w:rPr>
      </w:pPr>
      <w:bookmarkStart w:id="2" w:name="_Toc6478"/>
      <w:r>
        <w:rPr>
          <w:rFonts w:hint="eastAsia"/>
          <w:lang w:val="en-US" w:eastAsia="zh-CN"/>
        </w:rPr>
        <w:t>下载客户端</w:t>
      </w:r>
      <w:bookmarkEnd w:id="2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浏览器输入：</w:t>
      </w:r>
      <w:r>
        <w:rPr>
          <w:rStyle w:val="22"/>
          <w:rFonts w:hint="eastAsia"/>
          <w:lang w:val="en-US" w:eastAsia="zh-CN"/>
        </w:rPr>
        <w:t>h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"https://ria.gtcecloud.cn:20443/portal/#/login"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2"/>
          <w:rFonts w:hint="eastAsia"/>
          <w:lang w:val="en-US" w:eastAsia="zh-CN"/>
        </w:rPr>
        <w:t>ttps://ria.gtcecloud.cn:20443/portal/#/login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318635" cy="1529715"/>
            <wp:effectExtent l="0" t="0" r="9525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3" w:name="_Toc9790"/>
      <w:r>
        <w:rPr>
          <w:rFonts w:hint="eastAsia"/>
          <w:lang w:val="en-US" w:eastAsia="zh-CN"/>
        </w:rPr>
        <w:t>安装客户端</w:t>
      </w:r>
      <w:bookmarkEnd w:id="3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选择适用客户端，下载安装；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25315" cy="2616200"/>
            <wp:effectExtent l="0" t="0" r="952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/>
    <w:p>
      <w:pPr>
        <w:pStyle w:val="3"/>
        <w:bidi w:val="0"/>
      </w:pPr>
      <w:bookmarkStart w:id="4" w:name="_Toc26713"/>
      <w:r>
        <w:rPr>
          <w:rFonts w:hint="eastAsia"/>
          <w:lang w:val="en-US" w:eastAsia="zh-CN"/>
        </w:rPr>
        <w:t>认证客户端</w:t>
      </w:r>
      <w:bookmarkEnd w:id="4"/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登录客户端需要两次认证，分别是第一阶段域认证，需要输入域账号及密码；第二阶段为奇安信ID令牌认证。以上操作，详见以下相关操作步骤。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5" w:name="_Toc1913"/>
      <w:r>
        <w:rPr>
          <w:rFonts w:hint="eastAsia"/>
          <w:lang w:val="en-US" w:eastAsia="zh-CN"/>
        </w:rPr>
        <w:t>域认证阶段</w:t>
      </w:r>
      <w:bookmarkEnd w:id="5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步骤一：打开客户端界面，点击“</w:t>
      </w:r>
      <w:r>
        <w:rPr>
          <w:rFonts w:hint="eastAsia"/>
          <w:b/>
          <w:bCs/>
          <w:lang w:val="en-US" w:eastAsia="zh-CN"/>
        </w:rPr>
        <w:t>前往浏览器登录</w:t>
      </w:r>
      <w:r>
        <w:rPr>
          <w:rFonts w:hint="eastAsia"/>
          <w:lang w:val="en-US" w:eastAsia="zh-CN"/>
        </w:rPr>
        <w:t>”，进行域认证；</w:t>
      </w:r>
    </w:p>
    <w:p>
      <w:pPr>
        <w:numPr>
          <w:ilvl w:val="0"/>
          <w:numId w:val="0"/>
        </w:numPr>
        <w:ind w:firstLine="420" w:firstLineChars="0"/>
      </w:pPr>
      <w:bookmarkStart w:id="11" w:name="_GoBack"/>
      <w:r>
        <w:drawing>
          <wp:inline distT="0" distB="0" distL="114300" distR="114300">
            <wp:extent cx="4601210" cy="2856230"/>
            <wp:effectExtent l="0" t="0" r="1270" b="889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步骤二：在跳转到域认证界面，输入域账号及密码；</w:t>
      </w:r>
    </w:p>
    <w:p>
      <w:pPr>
        <w:bidi w:val="0"/>
      </w:pPr>
      <w:r>
        <w:drawing>
          <wp:inline distT="0" distB="0" distL="114300" distR="114300">
            <wp:extent cx="4602480" cy="2635885"/>
            <wp:effectExtent l="0" t="0" r="0" b="63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6" w:name="_Toc22838"/>
      <w:r>
        <w:rPr>
          <w:rFonts w:hint="eastAsia"/>
          <w:lang w:val="en-US" w:eastAsia="zh-CN"/>
        </w:rPr>
        <w:t>令牌认证阶段</w:t>
      </w:r>
      <w:bookmarkEnd w:id="6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步骤一：如出现以下界面，域认证成功，页面跳转到令牌认证界面，需要绑定服务端和客户端；点击“开始绑定”（首次登录涉及绑定，后续登录无此步骤）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51045" cy="2896235"/>
            <wp:effectExtent l="0" t="0" r="5715" b="1460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步骤二：界面出现基于服务端生成的二维码，此时需要打开奇安信ID令牌扫码，扫码之后点击“我已绑定，趣输入动态口令”。（首次登录涉及绑定，后续登录无此步骤）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70400" cy="2720340"/>
            <wp:effectExtent l="0" t="0" r="1016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步骤三：如已登录手机奇安信令牌客户端，选择中间位置“</w:t>
      </w:r>
      <w:r>
        <w:rPr>
          <w:rFonts w:hint="eastAsia"/>
          <w:b/>
          <w:bCs/>
          <w:u w:val="single"/>
          <w:lang w:val="en-US" w:eastAsia="zh-CN"/>
        </w:rPr>
        <w:t>外部动态口令</w:t>
      </w:r>
      <w:r>
        <w:rPr>
          <w:rFonts w:hint="eastAsia"/>
          <w:lang w:val="en-US" w:eastAsia="zh-CN"/>
        </w:rPr>
        <w:t>”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583180" cy="4589780"/>
            <wp:effectExtent l="0" t="0" r="7620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步骤四：点击右上角“+”，选择“扫描二维码添加”（首次登录涉及添加，后续登录无此步骤）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54530" cy="3830955"/>
            <wp:effectExtent l="0" t="0" r="1143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453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步骤五：扫描完成之后，生成一个30秒有效期的6位数字校验码；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088640" cy="1854200"/>
            <wp:effectExtent l="0" t="0" r="5080" b="508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以上为首次登录客户端，需使用奇安信手机令牌客户端扫描绑定服务端与客户端，</w:t>
      </w:r>
      <w:r>
        <w:rPr>
          <w:rFonts w:hint="eastAsia"/>
          <w:b w:val="0"/>
          <w:bCs w:val="0"/>
          <w:lang w:val="en-US" w:eastAsia="zh-CN"/>
        </w:rPr>
        <w:t>后续再次登录只需执行</w:t>
      </w:r>
      <w:r>
        <w:rPr>
          <w:rFonts w:hint="eastAsia"/>
          <w:b/>
          <w:bCs/>
          <w:lang w:val="en-US" w:eastAsia="zh-CN"/>
        </w:rPr>
        <w:t>步骤三</w:t>
      </w:r>
      <w:r>
        <w:rPr>
          <w:rFonts w:hint="eastAsia"/>
          <w:b w:val="0"/>
          <w:bCs w:val="0"/>
          <w:lang w:val="en-US" w:eastAsia="zh-CN"/>
        </w:rPr>
        <w:t>，可查看对应账号的</w:t>
      </w:r>
      <w:r>
        <w:rPr>
          <w:rFonts w:hint="eastAsia"/>
          <w:b/>
          <w:bCs/>
          <w:lang w:val="en-US" w:eastAsia="zh-CN"/>
        </w:rPr>
        <w:t>6位数</w:t>
      </w:r>
      <w:r>
        <w:rPr>
          <w:rFonts w:hint="eastAsia"/>
          <w:b w:val="0"/>
          <w:bCs w:val="0"/>
          <w:lang w:val="en-US" w:eastAsia="zh-CN"/>
        </w:rPr>
        <w:t>字验证码，输入即可</w:t>
      </w:r>
      <w:r>
        <w:rPr>
          <w:rFonts w:hint="eastAsia"/>
          <w:b/>
          <w:bCs/>
          <w:lang w:val="en-US" w:eastAsia="zh-CN"/>
        </w:rPr>
        <w:t>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如奇安信令牌无法登录，请参考3.1章节登录；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7" w:name="_Toc30809"/>
      <w:r>
        <w:rPr>
          <w:rFonts w:hint="eastAsia"/>
          <w:lang w:val="en-US" w:eastAsia="zh-CN"/>
        </w:rPr>
        <w:t>登录客户端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步骤一：输入手机令牌显示6位动态口令；</w:t>
      </w:r>
    </w:p>
    <w:p>
      <w:pPr>
        <w:ind w:left="420" w:leftChars="0"/>
      </w:pPr>
      <w:r>
        <w:drawing>
          <wp:inline distT="0" distB="0" distL="114300" distR="114300">
            <wp:extent cx="4478655" cy="2569210"/>
            <wp:effectExtent l="0" t="0" r="1905" b="635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步骤二：登录客户端成功，显示可访问资源；此网页登录完成，可以关闭。</w:t>
      </w:r>
    </w:p>
    <w:p>
      <w:pPr>
        <w:ind w:left="420" w:leftChars="0"/>
      </w:pPr>
      <w:r>
        <w:drawing>
          <wp:inline distT="0" distB="0" distL="114300" distR="114300">
            <wp:extent cx="4329430" cy="2014220"/>
            <wp:effectExtent l="0" t="0" r="13970" b="1270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步骤三：查看客户端，已正常登录；</w:t>
      </w:r>
    </w:p>
    <w:p>
      <w:pPr>
        <w:ind w:left="420" w:leftChars="0"/>
      </w:pPr>
      <w:r>
        <w:drawing>
          <wp:inline distT="0" distB="0" distL="114300" distR="114300">
            <wp:extent cx="4343400" cy="2660650"/>
            <wp:effectExtent l="0" t="0" r="0" b="635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bidi w:val="0"/>
      </w:pPr>
      <w:bookmarkStart w:id="8" w:name="_Toc14545"/>
      <w:r>
        <w:rPr>
          <w:rFonts w:hint="eastAsia"/>
          <w:lang w:val="en-US" w:eastAsia="zh-CN"/>
        </w:rPr>
        <w:t>移动端登录</w:t>
      </w:r>
      <w:bookmarkEnd w:id="8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安装客户端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浏览器输入：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"https://ria.gtcecloud.cn:20443/portal/#/login"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2"/>
          <w:rFonts w:hint="eastAsia"/>
          <w:lang w:val="en-US" w:eastAsia="zh-CN"/>
        </w:rPr>
        <w:t>https://ria.gtcecloud.cn:20443/portal/#/login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，扫码下载安装；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3675" cy="3216275"/>
            <wp:effectExtent l="0" t="0" r="1460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认证客户端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域认证阶段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步骤一：打开手机客户端，输入服务器地址：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"https://ria.gtceclould.cn:20443；"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2"/>
          <w:rFonts w:hint="eastAsia"/>
          <w:lang w:val="en-US" w:eastAsia="zh-CN"/>
        </w:rPr>
        <w:t>https://ria.gtcecloud.cn:20443；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连接服务端</w:t>
      </w:r>
    </w:p>
    <w:p>
      <w:pPr>
        <w:ind w:left="420" w:leftChars="0"/>
      </w:pPr>
      <w:r>
        <w:drawing>
          <wp:inline distT="0" distB="0" distL="114300" distR="114300">
            <wp:extent cx="2065020" cy="3161665"/>
            <wp:effectExtent l="0" t="0" r="7620" b="8255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步骤二：页面跳转统一认证平台，输入域账号及密码</w:t>
      </w:r>
    </w:p>
    <w:p>
      <w:p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279650" cy="3228340"/>
            <wp:effectExtent l="0" t="0" r="6350" b="254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令牌认证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因PC登录后已绑定，移动端登录可直接输入6为数字验证码；</w:t>
      </w:r>
    </w:p>
    <w:p>
      <w:pPr>
        <w:ind w:left="420" w:leftChars="0"/>
      </w:pPr>
      <w:r>
        <w:drawing>
          <wp:inline distT="0" distB="0" distL="114300" distR="114300">
            <wp:extent cx="2240280" cy="3789680"/>
            <wp:effectExtent l="0" t="0" r="0" b="508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客户端登录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步骤一：提示设置应用锁，方便后续登录客户端；</w:t>
      </w:r>
    </w:p>
    <w:p>
      <w:pPr>
        <w:bidi w:val="0"/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381250" cy="3895725"/>
            <wp:effectExtent l="0" t="0" r="11430" b="571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步骤二：同意网络连接请求；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018030" cy="3117850"/>
            <wp:effectExtent l="0" t="0" r="8890" b="6350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803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步骤三：登录成功，显示资源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1941830" cy="3761740"/>
            <wp:effectExtent l="0" t="0" r="8890" b="2540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bidi w:val="0"/>
      </w:pPr>
      <w:bookmarkStart w:id="9" w:name="2._桶复制IO流"/>
      <w:bookmarkEnd w:id="9"/>
      <w:r>
        <w:rPr>
          <w:rFonts w:hint="eastAsia"/>
          <w:lang w:val="en-US" w:eastAsia="zh-CN"/>
        </w:rPr>
        <w:t>常见问题解决方案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0" w:name="_Toc16997"/>
      <w:r>
        <w:rPr>
          <w:rFonts w:hint="eastAsia"/>
          <w:lang w:val="en-US" w:eastAsia="zh-CN"/>
        </w:rPr>
        <w:t>奇安信令牌ID无法登录</w:t>
      </w:r>
      <w:bookmarkEnd w:id="10"/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步骤一：未登录令牌客户端（如账号密码无法登录情况），可直接选择右上角“外部动态口令”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26970" cy="3503295"/>
            <wp:effectExtent l="0" t="0" r="1143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步骤二：提示输入手势或指纹解锁</w:t>
      </w:r>
    </w:p>
    <w:p>
      <w:r>
        <w:drawing>
          <wp:inline distT="0" distB="0" distL="114300" distR="114300">
            <wp:extent cx="2437765" cy="3305810"/>
            <wp:effectExtent l="0" t="0" r="63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步骤三：点击右上角“+”，选择“扫描二维码添加”</w:t>
      </w:r>
    </w:p>
    <w:p>
      <w:r>
        <w:drawing>
          <wp:inline distT="0" distB="0" distL="114300" distR="114300">
            <wp:extent cx="2476500" cy="4853940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步骤四：扫描完成之后，生成一个30秒有效期的6位数字校验码；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585085" cy="1551940"/>
            <wp:effectExtent l="0" t="0" r="5715" b="254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20"/>
      </w:pPr>
      <w:r>
        <w:separator/>
      </w:r>
    </w:p>
  </w:endnote>
  <w:endnote w:type="continuationSeparator" w:id="1">
    <w:p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480" w:lineRule="auto"/>
        <w:ind w:firstLine="420"/>
      </w:pPr>
      <w:r>
        <w:separator/>
      </w:r>
    </w:p>
  </w:footnote>
  <w:footnote w:type="continuationSeparator" w:id="1">
    <w:p>
      <w:pPr>
        <w:spacing w:line="480" w:lineRule="auto"/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D30270"/>
    <w:multiLevelType w:val="singleLevel"/>
    <w:tmpl w:val="DBD30270"/>
    <w:lvl w:ilvl="0" w:tentative="0">
      <w:start w:val="1"/>
      <w:numFmt w:val="bullet"/>
      <w:pStyle w:val="13"/>
      <w:lvlText w:val=""/>
      <w:lvlJc w:val="left"/>
      <w:pPr>
        <w:tabs>
          <w:tab w:val="left" w:pos="2040"/>
        </w:tabs>
        <w:ind w:left="2040" w:hanging="360"/>
      </w:pPr>
      <w:rPr>
        <w:rFonts w:hint="default" w:ascii="Wingdings" w:hAnsi="Wingdings"/>
      </w:rPr>
    </w:lvl>
  </w:abstractNum>
  <w:abstractNum w:abstractNumId="1">
    <w:nsid w:val="3730740D"/>
    <w:multiLevelType w:val="multilevel"/>
    <w:tmpl w:val="3730740D"/>
    <w:lvl w:ilvl="0" w:tentative="0">
      <w:start w:val="1"/>
      <w:numFmt w:val="decimal"/>
      <w:pStyle w:val="35"/>
      <w:lvlText w:val="%1."/>
      <w:lvlJc w:val="left"/>
      <w:pPr>
        <w:ind w:left="704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1" w:tentative="0">
      <w:start w:val="1"/>
      <w:numFmt w:val="lowerLetter"/>
      <w:lvlText w:val="%2)"/>
      <w:lvlJc w:val="left"/>
      <w:pPr>
        <w:ind w:left="1500" w:hanging="420"/>
      </w:pPr>
    </w:lvl>
    <w:lvl w:ilvl="2" w:tentative="0">
      <w:start w:val="1"/>
      <w:numFmt w:val="lowerRoman"/>
      <w:lvlText w:val="%3."/>
      <w:lvlJc w:val="right"/>
      <w:pPr>
        <w:ind w:left="1920" w:hanging="420"/>
      </w:pPr>
    </w:lvl>
    <w:lvl w:ilvl="3" w:tentative="0">
      <w:start w:val="1"/>
      <w:numFmt w:val="decimal"/>
      <w:lvlText w:val="%4."/>
      <w:lvlJc w:val="left"/>
      <w:pPr>
        <w:ind w:left="2340" w:hanging="420"/>
      </w:pPr>
    </w:lvl>
    <w:lvl w:ilvl="4" w:tentative="0">
      <w:start w:val="1"/>
      <w:numFmt w:val="lowerLetter"/>
      <w:lvlText w:val="%5)"/>
      <w:lvlJc w:val="left"/>
      <w:pPr>
        <w:ind w:left="2760" w:hanging="420"/>
      </w:pPr>
    </w:lvl>
    <w:lvl w:ilvl="5" w:tentative="0">
      <w:start w:val="1"/>
      <w:numFmt w:val="lowerRoman"/>
      <w:lvlText w:val="%6."/>
      <w:lvlJc w:val="right"/>
      <w:pPr>
        <w:ind w:left="3180" w:hanging="420"/>
      </w:pPr>
    </w:lvl>
    <w:lvl w:ilvl="6" w:tentative="0">
      <w:start w:val="1"/>
      <w:numFmt w:val="decimal"/>
      <w:lvlText w:val="%7."/>
      <w:lvlJc w:val="left"/>
      <w:pPr>
        <w:ind w:left="3600" w:hanging="420"/>
      </w:pPr>
    </w:lvl>
    <w:lvl w:ilvl="7" w:tentative="0">
      <w:start w:val="1"/>
      <w:numFmt w:val="lowerLetter"/>
      <w:lvlText w:val="%8)"/>
      <w:lvlJc w:val="left"/>
      <w:pPr>
        <w:ind w:left="4020" w:hanging="420"/>
      </w:pPr>
    </w:lvl>
    <w:lvl w:ilvl="8" w:tentative="0">
      <w:start w:val="1"/>
      <w:numFmt w:val="lowerRoman"/>
      <w:lvlText w:val="%9."/>
      <w:lvlJc w:val="right"/>
      <w:pPr>
        <w:ind w:left="4440" w:hanging="420"/>
      </w:pPr>
    </w:lvl>
  </w:abstractNum>
  <w:abstractNum w:abstractNumId="2">
    <w:nsid w:val="463C3DB5"/>
    <w:multiLevelType w:val="multilevel"/>
    <w:tmpl w:val="463C3DB5"/>
    <w:lvl w:ilvl="0" w:tentative="0">
      <w:start w:val="1"/>
      <w:numFmt w:val="decimal"/>
      <w:pStyle w:val="41"/>
      <w:lvlText w:val="%1."/>
      <w:lvlJc w:val="left"/>
      <w:pPr>
        <w:tabs>
          <w:tab w:val="left" w:pos="284"/>
        </w:tabs>
        <w:ind w:left="284" w:hanging="284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79A631A6"/>
    <w:multiLevelType w:val="multilevel"/>
    <w:tmpl w:val="79A631A6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EzMTNkNTAyMDAxNTliNzBhOTU0ZDkyOWQwZmRlMmYifQ=="/>
  </w:docVars>
  <w:rsids>
    <w:rsidRoot w:val="00880E57"/>
    <w:rsid w:val="00061DD5"/>
    <w:rsid w:val="0007242B"/>
    <w:rsid w:val="000C5457"/>
    <w:rsid w:val="0012673F"/>
    <w:rsid w:val="0013185E"/>
    <w:rsid w:val="0015514A"/>
    <w:rsid w:val="001A4640"/>
    <w:rsid w:val="001A5A2E"/>
    <w:rsid w:val="001D2764"/>
    <w:rsid w:val="001E0059"/>
    <w:rsid w:val="00201DE1"/>
    <w:rsid w:val="002809E8"/>
    <w:rsid w:val="00283CEC"/>
    <w:rsid w:val="00303E51"/>
    <w:rsid w:val="00327CB9"/>
    <w:rsid w:val="0038531F"/>
    <w:rsid w:val="003A593F"/>
    <w:rsid w:val="003D259F"/>
    <w:rsid w:val="004661F0"/>
    <w:rsid w:val="00467D2E"/>
    <w:rsid w:val="004C25BA"/>
    <w:rsid w:val="004E08CB"/>
    <w:rsid w:val="004E1F58"/>
    <w:rsid w:val="004E4A41"/>
    <w:rsid w:val="004E7B94"/>
    <w:rsid w:val="005219D3"/>
    <w:rsid w:val="0055056E"/>
    <w:rsid w:val="005B6E14"/>
    <w:rsid w:val="00667F22"/>
    <w:rsid w:val="007025CD"/>
    <w:rsid w:val="00723673"/>
    <w:rsid w:val="007478BA"/>
    <w:rsid w:val="0075573E"/>
    <w:rsid w:val="007D4DA1"/>
    <w:rsid w:val="00826343"/>
    <w:rsid w:val="00826719"/>
    <w:rsid w:val="00851572"/>
    <w:rsid w:val="00880E57"/>
    <w:rsid w:val="008A1A92"/>
    <w:rsid w:val="008A1B91"/>
    <w:rsid w:val="008A3EFA"/>
    <w:rsid w:val="008B2FDE"/>
    <w:rsid w:val="009740E4"/>
    <w:rsid w:val="009837AA"/>
    <w:rsid w:val="00990C54"/>
    <w:rsid w:val="00A15384"/>
    <w:rsid w:val="00A278B0"/>
    <w:rsid w:val="00A6330B"/>
    <w:rsid w:val="00AB0C66"/>
    <w:rsid w:val="00AC06EC"/>
    <w:rsid w:val="00AD1373"/>
    <w:rsid w:val="00B46DC2"/>
    <w:rsid w:val="00B85714"/>
    <w:rsid w:val="00C335F9"/>
    <w:rsid w:val="00CB6730"/>
    <w:rsid w:val="00D87EE6"/>
    <w:rsid w:val="00DE5ED9"/>
    <w:rsid w:val="00E0157E"/>
    <w:rsid w:val="00E375B4"/>
    <w:rsid w:val="00E75F46"/>
    <w:rsid w:val="00E949A9"/>
    <w:rsid w:val="00EA4C60"/>
    <w:rsid w:val="00EF0CCA"/>
    <w:rsid w:val="01070D04"/>
    <w:rsid w:val="01374E54"/>
    <w:rsid w:val="027352AD"/>
    <w:rsid w:val="034A087D"/>
    <w:rsid w:val="03623A36"/>
    <w:rsid w:val="049F0875"/>
    <w:rsid w:val="055D4A1F"/>
    <w:rsid w:val="0579053D"/>
    <w:rsid w:val="06B44E6A"/>
    <w:rsid w:val="06D21D6E"/>
    <w:rsid w:val="081E4FBF"/>
    <w:rsid w:val="086D43B2"/>
    <w:rsid w:val="0A7812D5"/>
    <w:rsid w:val="0B2326C3"/>
    <w:rsid w:val="0B471128"/>
    <w:rsid w:val="0BF33AFC"/>
    <w:rsid w:val="0C210B2D"/>
    <w:rsid w:val="0C931DA3"/>
    <w:rsid w:val="0CD67C16"/>
    <w:rsid w:val="0D335069"/>
    <w:rsid w:val="0DC170AD"/>
    <w:rsid w:val="0E39045D"/>
    <w:rsid w:val="0E81124B"/>
    <w:rsid w:val="0EE953BB"/>
    <w:rsid w:val="0FE17BEE"/>
    <w:rsid w:val="11A655FD"/>
    <w:rsid w:val="12282CC2"/>
    <w:rsid w:val="12CA5169"/>
    <w:rsid w:val="138E4DA7"/>
    <w:rsid w:val="14301436"/>
    <w:rsid w:val="14D964F6"/>
    <w:rsid w:val="151A42AF"/>
    <w:rsid w:val="1644797B"/>
    <w:rsid w:val="188D40F3"/>
    <w:rsid w:val="194A1770"/>
    <w:rsid w:val="1A475CB0"/>
    <w:rsid w:val="1A544D45"/>
    <w:rsid w:val="1B4912C8"/>
    <w:rsid w:val="1BCB797D"/>
    <w:rsid w:val="1BF22983"/>
    <w:rsid w:val="1CA67605"/>
    <w:rsid w:val="1E813455"/>
    <w:rsid w:val="1F071EB1"/>
    <w:rsid w:val="1F505606"/>
    <w:rsid w:val="203C37A2"/>
    <w:rsid w:val="20426FFC"/>
    <w:rsid w:val="205479D2"/>
    <w:rsid w:val="22160E5B"/>
    <w:rsid w:val="2217065D"/>
    <w:rsid w:val="221768AF"/>
    <w:rsid w:val="2369313B"/>
    <w:rsid w:val="242500FD"/>
    <w:rsid w:val="25237319"/>
    <w:rsid w:val="257550B5"/>
    <w:rsid w:val="27354772"/>
    <w:rsid w:val="27B00E3C"/>
    <w:rsid w:val="2B6E6782"/>
    <w:rsid w:val="2BB918CA"/>
    <w:rsid w:val="2C4B4A59"/>
    <w:rsid w:val="2C572CC8"/>
    <w:rsid w:val="2CCF04B2"/>
    <w:rsid w:val="2D6C5B94"/>
    <w:rsid w:val="2D8B7F6A"/>
    <w:rsid w:val="2DE17518"/>
    <w:rsid w:val="2E913A09"/>
    <w:rsid w:val="2F6B180A"/>
    <w:rsid w:val="2FA963C2"/>
    <w:rsid w:val="2FE34275"/>
    <w:rsid w:val="30A43A04"/>
    <w:rsid w:val="323755CD"/>
    <w:rsid w:val="323D0F7D"/>
    <w:rsid w:val="33983E03"/>
    <w:rsid w:val="33A32991"/>
    <w:rsid w:val="34F83B89"/>
    <w:rsid w:val="350643E7"/>
    <w:rsid w:val="366176BB"/>
    <w:rsid w:val="368B7E6E"/>
    <w:rsid w:val="36B86141"/>
    <w:rsid w:val="372F0468"/>
    <w:rsid w:val="376E6505"/>
    <w:rsid w:val="38353194"/>
    <w:rsid w:val="384148C6"/>
    <w:rsid w:val="38991974"/>
    <w:rsid w:val="393B7CFC"/>
    <w:rsid w:val="397D3044"/>
    <w:rsid w:val="39D013C6"/>
    <w:rsid w:val="3A145757"/>
    <w:rsid w:val="3AB47181"/>
    <w:rsid w:val="3B0434B0"/>
    <w:rsid w:val="3BE01442"/>
    <w:rsid w:val="3BEC0AEF"/>
    <w:rsid w:val="3CB700CE"/>
    <w:rsid w:val="3CBA6812"/>
    <w:rsid w:val="3CC30735"/>
    <w:rsid w:val="3D07263F"/>
    <w:rsid w:val="3D522C3F"/>
    <w:rsid w:val="3D5A1362"/>
    <w:rsid w:val="3D962926"/>
    <w:rsid w:val="3EF618CF"/>
    <w:rsid w:val="4510185F"/>
    <w:rsid w:val="451231DA"/>
    <w:rsid w:val="4613720A"/>
    <w:rsid w:val="470142E9"/>
    <w:rsid w:val="473F7B8B"/>
    <w:rsid w:val="474329EC"/>
    <w:rsid w:val="478D450B"/>
    <w:rsid w:val="47C934EF"/>
    <w:rsid w:val="48693111"/>
    <w:rsid w:val="48EC08DA"/>
    <w:rsid w:val="49646021"/>
    <w:rsid w:val="49706721"/>
    <w:rsid w:val="4AAA2F2C"/>
    <w:rsid w:val="4B977F95"/>
    <w:rsid w:val="4D020778"/>
    <w:rsid w:val="4DE60D60"/>
    <w:rsid w:val="4F1E264A"/>
    <w:rsid w:val="4FA2515B"/>
    <w:rsid w:val="4FE147A0"/>
    <w:rsid w:val="501537ED"/>
    <w:rsid w:val="50414831"/>
    <w:rsid w:val="507A1C34"/>
    <w:rsid w:val="509448C9"/>
    <w:rsid w:val="51EA0B39"/>
    <w:rsid w:val="52DD4E28"/>
    <w:rsid w:val="534C4886"/>
    <w:rsid w:val="540B32CF"/>
    <w:rsid w:val="542C12AE"/>
    <w:rsid w:val="547215A0"/>
    <w:rsid w:val="55FA5E51"/>
    <w:rsid w:val="5613751F"/>
    <w:rsid w:val="56783445"/>
    <w:rsid w:val="57217BBB"/>
    <w:rsid w:val="58A43CF2"/>
    <w:rsid w:val="5919023C"/>
    <w:rsid w:val="593A0E1B"/>
    <w:rsid w:val="59924CB6"/>
    <w:rsid w:val="5A1D1FAE"/>
    <w:rsid w:val="5A1E71D0"/>
    <w:rsid w:val="5A427C66"/>
    <w:rsid w:val="5ABA4FFF"/>
    <w:rsid w:val="5B7756EE"/>
    <w:rsid w:val="5BC83538"/>
    <w:rsid w:val="5CD3199D"/>
    <w:rsid w:val="5CD526CC"/>
    <w:rsid w:val="5D161D15"/>
    <w:rsid w:val="5DE52DE2"/>
    <w:rsid w:val="5DED0B88"/>
    <w:rsid w:val="5EC97DA4"/>
    <w:rsid w:val="5EFA28BD"/>
    <w:rsid w:val="5F3067B9"/>
    <w:rsid w:val="62272E5F"/>
    <w:rsid w:val="64185015"/>
    <w:rsid w:val="64551DBE"/>
    <w:rsid w:val="64555EE3"/>
    <w:rsid w:val="64632CB3"/>
    <w:rsid w:val="65183A9D"/>
    <w:rsid w:val="655B398A"/>
    <w:rsid w:val="65801B6E"/>
    <w:rsid w:val="65B266BB"/>
    <w:rsid w:val="65BA7FB3"/>
    <w:rsid w:val="65CB209C"/>
    <w:rsid w:val="67847234"/>
    <w:rsid w:val="67932656"/>
    <w:rsid w:val="68222DF4"/>
    <w:rsid w:val="68297D70"/>
    <w:rsid w:val="686D1FCC"/>
    <w:rsid w:val="68D1672B"/>
    <w:rsid w:val="69320EA6"/>
    <w:rsid w:val="69362744"/>
    <w:rsid w:val="698A1C4D"/>
    <w:rsid w:val="69962C69"/>
    <w:rsid w:val="69EE1271"/>
    <w:rsid w:val="6A916014"/>
    <w:rsid w:val="6B7F40A3"/>
    <w:rsid w:val="6BB51303"/>
    <w:rsid w:val="6C26604F"/>
    <w:rsid w:val="6C4222B7"/>
    <w:rsid w:val="6D4A44C4"/>
    <w:rsid w:val="6D6F091A"/>
    <w:rsid w:val="6DAA2941"/>
    <w:rsid w:val="6E3F76A6"/>
    <w:rsid w:val="6E4B4EE4"/>
    <w:rsid w:val="6F045092"/>
    <w:rsid w:val="6F1A6664"/>
    <w:rsid w:val="6F80525F"/>
    <w:rsid w:val="7014330B"/>
    <w:rsid w:val="709A7951"/>
    <w:rsid w:val="71F21276"/>
    <w:rsid w:val="72F84D39"/>
    <w:rsid w:val="73D83B78"/>
    <w:rsid w:val="74277B2D"/>
    <w:rsid w:val="743470AC"/>
    <w:rsid w:val="74495AC6"/>
    <w:rsid w:val="744E527D"/>
    <w:rsid w:val="75A91CB3"/>
    <w:rsid w:val="75EB0D5A"/>
    <w:rsid w:val="77750114"/>
    <w:rsid w:val="77E837A3"/>
    <w:rsid w:val="77FD7859"/>
    <w:rsid w:val="786B7B29"/>
    <w:rsid w:val="788A2AAC"/>
    <w:rsid w:val="78BC0DA7"/>
    <w:rsid w:val="796B31BF"/>
    <w:rsid w:val="79935991"/>
    <w:rsid w:val="7A747570"/>
    <w:rsid w:val="7B8141DD"/>
    <w:rsid w:val="7D447B15"/>
    <w:rsid w:val="7DDD21D1"/>
    <w:rsid w:val="7E91327B"/>
    <w:rsid w:val="7EA30424"/>
    <w:rsid w:val="7F897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qFormat="1"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80" w:lineRule="auto"/>
      <w:ind w:left="0" w:leftChars="0" w:firstLine="723" w:firstLineChars="200"/>
      <w:jc w:val="both"/>
    </w:pPr>
    <w:rPr>
      <w:rFonts w:eastAsia="华文仿宋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numPr>
        <w:ilvl w:val="0"/>
        <w:numId w:val="1"/>
      </w:numPr>
      <w:spacing w:before="340" w:after="330" w:line="579" w:lineRule="auto"/>
      <w:ind w:left="0" w:firstLine="0"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2"/>
    <w:next w:val="1"/>
    <w:link w:val="26"/>
    <w:unhideWhenUsed/>
    <w:qFormat/>
    <w:uiPriority w:val="9"/>
    <w:pPr>
      <w:keepNext/>
      <w:keepLines/>
      <w:numPr>
        <w:ilvl w:val="1"/>
        <w:numId w:val="1"/>
      </w:numPr>
      <w:tabs>
        <w:tab w:val="left" w:pos="420"/>
      </w:tabs>
      <w:spacing w:before="260" w:after="260" w:line="416" w:lineRule="auto"/>
      <w:ind w:left="0" w:firstLine="0" w:firstLineChars="0"/>
      <w:outlineLvl w:val="1"/>
    </w:pPr>
    <w:rPr>
      <w:rFonts w:asciiTheme="majorAscii" w:hAnsiTheme="majorAscii" w:eastAsiaTheme="majorEastAsia" w:cstheme="majorBidi"/>
      <w:sz w:val="32"/>
      <w:szCs w:val="32"/>
    </w:rPr>
  </w:style>
  <w:style w:type="paragraph" w:styleId="4">
    <w:name w:val="heading 3"/>
    <w:basedOn w:val="3"/>
    <w:next w:val="1"/>
    <w:link w:val="27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sz w:val="32"/>
      <w:szCs w:val="32"/>
    </w:rPr>
  </w:style>
  <w:style w:type="paragraph" w:styleId="5">
    <w:name w:val="heading 4"/>
    <w:basedOn w:val="4"/>
    <w:next w:val="1"/>
    <w:link w:val="28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sz w:val="28"/>
      <w:szCs w:val="28"/>
    </w:rPr>
  </w:style>
  <w:style w:type="paragraph" w:styleId="6">
    <w:name w:val="heading 5"/>
    <w:basedOn w:val="5"/>
    <w:next w:val="1"/>
    <w:link w:val="29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sz w:val="28"/>
      <w:szCs w:val="28"/>
    </w:rPr>
  </w:style>
  <w:style w:type="paragraph" w:styleId="7">
    <w:name w:val="heading 6"/>
    <w:basedOn w:val="6"/>
    <w:next w:val="1"/>
    <w:link w:val="30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sz w:val="24"/>
    </w:rPr>
  </w:style>
  <w:style w:type="paragraph" w:styleId="8">
    <w:name w:val="heading 7"/>
    <w:basedOn w:val="7"/>
    <w:next w:val="1"/>
    <w:link w:val="31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sz w:val="24"/>
    </w:rPr>
  </w:style>
  <w:style w:type="paragraph" w:styleId="9">
    <w:name w:val="heading 8"/>
    <w:basedOn w:val="8"/>
    <w:next w:val="1"/>
    <w:link w:val="32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</w:rPr>
  </w:style>
  <w:style w:type="paragraph" w:styleId="10">
    <w:name w:val="heading 9"/>
    <w:basedOn w:val="1"/>
    <w:next w:val="1"/>
    <w:link w:val="33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link w:val="45"/>
    <w:qFormat/>
    <w:uiPriority w:val="1"/>
    <w:pPr>
      <w:autoSpaceDE w:val="0"/>
      <w:autoSpaceDN w:val="0"/>
      <w:spacing w:before="172"/>
      <w:jc w:val="left"/>
    </w:pPr>
    <w:rPr>
      <w:rFonts w:ascii="等线" w:hAnsi="等线" w:eastAsia="等线" w:cs="等线"/>
      <w:kern w:val="0"/>
      <w:sz w:val="22"/>
      <w:szCs w:val="22"/>
      <w:lang w:eastAsia="en-US"/>
    </w:rPr>
  </w:style>
  <w:style w:type="paragraph" w:styleId="12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13">
    <w:name w:val="List Bullet 5"/>
    <w:basedOn w:val="1"/>
    <w:semiHidden/>
    <w:unhideWhenUsed/>
    <w:qFormat/>
    <w:uiPriority w:val="99"/>
    <w:pPr>
      <w:numPr>
        <w:ilvl w:val="0"/>
        <w:numId w:val="2"/>
      </w:numPr>
      <w:spacing w:line="360" w:lineRule="auto"/>
      <w:ind w:firstLine="200" w:firstLineChars="200"/>
    </w:pPr>
    <w:rPr>
      <w:rFonts w:eastAsia="宋体"/>
      <w:sz w:val="24"/>
      <w:szCs w:val="22"/>
    </w:rPr>
  </w:style>
  <w:style w:type="paragraph" w:styleId="14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semiHidden/>
    <w:unhideWhenUsed/>
    <w:qFormat/>
    <w:uiPriority w:val="39"/>
  </w:style>
  <w:style w:type="paragraph" w:styleId="17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table" w:styleId="20">
    <w:name w:val="Table Grid"/>
    <w:basedOn w:val="19"/>
    <w:qFormat/>
    <w:uiPriority w:val="3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Hyperlink"/>
    <w:basedOn w:val="21"/>
    <w:semiHidden/>
    <w:unhideWhenUsed/>
    <w:qFormat/>
    <w:uiPriority w:val="99"/>
    <w:rPr>
      <w:color w:val="0000FF"/>
      <w:u w:val="single"/>
    </w:rPr>
  </w:style>
  <w:style w:type="character" w:customStyle="1" w:styleId="23">
    <w:name w:val="页眉 字符"/>
    <w:basedOn w:val="21"/>
    <w:link w:val="15"/>
    <w:qFormat/>
    <w:uiPriority w:val="99"/>
    <w:rPr>
      <w:sz w:val="18"/>
      <w:szCs w:val="18"/>
    </w:rPr>
  </w:style>
  <w:style w:type="character" w:customStyle="1" w:styleId="24">
    <w:name w:val="页脚 字符"/>
    <w:basedOn w:val="21"/>
    <w:link w:val="14"/>
    <w:qFormat/>
    <w:uiPriority w:val="99"/>
    <w:rPr>
      <w:sz w:val="18"/>
      <w:szCs w:val="18"/>
    </w:rPr>
  </w:style>
  <w:style w:type="character" w:customStyle="1" w:styleId="25">
    <w:name w:val="标题 1 字符"/>
    <w:basedOn w:val="21"/>
    <w:link w:val="2"/>
    <w:qFormat/>
    <w:uiPriority w:val="9"/>
    <w:rPr>
      <w:rFonts w:eastAsia="宋体"/>
      <w:b/>
      <w:bCs/>
      <w:kern w:val="44"/>
      <w:sz w:val="44"/>
      <w:szCs w:val="44"/>
    </w:rPr>
  </w:style>
  <w:style w:type="character" w:customStyle="1" w:styleId="26">
    <w:name w:val="标题 2 字符"/>
    <w:basedOn w:val="21"/>
    <w:link w:val="3"/>
    <w:qFormat/>
    <w:uiPriority w:val="9"/>
    <w:rPr>
      <w:rFonts w:asciiTheme="majorAscii" w:hAnsiTheme="majorAscii" w:eastAsiaTheme="majorEastAsia" w:cstheme="majorBidi"/>
      <w:b/>
      <w:bCs/>
      <w:sz w:val="32"/>
      <w:szCs w:val="32"/>
    </w:rPr>
  </w:style>
  <w:style w:type="character" w:customStyle="1" w:styleId="27">
    <w:name w:val="标题 3 字符"/>
    <w:basedOn w:val="21"/>
    <w:link w:val="4"/>
    <w:qFormat/>
    <w:uiPriority w:val="9"/>
    <w:rPr>
      <w:b/>
      <w:bCs/>
      <w:sz w:val="32"/>
      <w:szCs w:val="32"/>
    </w:rPr>
  </w:style>
  <w:style w:type="character" w:customStyle="1" w:styleId="28">
    <w:name w:val="标题 4 字符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标题 5 字符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30">
    <w:name w:val="标题 6 字符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1">
    <w:name w:val="标题 7 字符"/>
    <w:basedOn w:val="21"/>
    <w:link w:val="8"/>
    <w:semiHidden/>
    <w:qFormat/>
    <w:uiPriority w:val="9"/>
    <w:rPr>
      <w:b/>
      <w:bCs/>
      <w:sz w:val="24"/>
      <w:szCs w:val="24"/>
    </w:rPr>
  </w:style>
  <w:style w:type="character" w:customStyle="1" w:styleId="32">
    <w:name w:val="标题 8 字符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3">
    <w:name w:val="标题 9 字符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4">
    <w:name w:val="正文（SANGFOR）"/>
    <w:basedOn w:val="1"/>
    <w:link w:val="36"/>
    <w:qFormat/>
    <w:uiPriority w:val="0"/>
    <w:pPr>
      <w:spacing w:before="80" w:after="80" w:line="300" w:lineRule="auto"/>
      <w:ind w:firstLine="200" w:firstLineChars="200"/>
    </w:pPr>
    <w:rPr>
      <w:rFonts w:eastAsia="宋体" w:cs="Times New Roman"/>
      <w:sz w:val="24"/>
      <w:szCs w:val="22"/>
    </w:rPr>
  </w:style>
  <w:style w:type="paragraph" w:customStyle="1" w:styleId="35">
    <w:name w:val="序号1.（SANGFOR）"/>
    <w:basedOn w:val="1"/>
    <w:qFormat/>
    <w:uiPriority w:val="0"/>
    <w:pPr>
      <w:numPr>
        <w:ilvl w:val="0"/>
        <w:numId w:val="3"/>
      </w:numPr>
      <w:spacing w:before="80" w:after="80" w:line="300" w:lineRule="auto"/>
    </w:pPr>
    <w:rPr>
      <w:rFonts w:eastAsia="宋体" w:cs="Times New Roman"/>
      <w:sz w:val="24"/>
      <w:szCs w:val="22"/>
    </w:rPr>
  </w:style>
  <w:style w:type="character" w:customStyle="1" w:styleId="36">
    <w:name w:val="正文（SANGFOR） 字符"/>
    <w:basedOn w:val="21"/>
    <w:link w:val="34"/>
    <w:qFormat/>
    <w:uiPriority w:val="0"/>
    <w:rPr>
      <w:rFonts w:eastAsia="宋体" w:cs="Times New Roman"/>
      <w:sz w:val="24"/>
    </w:rPr>
  </w:style>
  <w:style w:type="paragraph" w:customStyle="1" w:styleId="37">
    <w:name w:val="0 正文"/>
    <w:basedOn w:val="1"/>
    <w:qFormat/>
    <w:uiPriority w:val="0"/>
    <w:pPr>
      <w:spacing w:before="100" w:beforeAutospacing="1" w:after="100" w:afterAutospacing="1" w:line="360" w:lineRule="exact"/>
      <w:ind w:firstLine="480" w:firstLineChars="200"/>
    </w:pPr>
    <w:rPr>
      <w:rFonts w:hAnsi="宋体" w:eastAsia="宋体"/>
      <w:sz w:val="24"/>
    </w:rPr>
  </w:style>
  <w:style w:type="paragraph" w:styleId="38">
    <w:name w:val="List Paragraph"/>
    <w:basedOn w:val="1"/>
    <w:link w:val="39"/>
    <w:qFormat/>
    <w:uiPriority w:val="1"/>
    <w:pPr>
      <w:spacing w:line="360" w:lineRule="auto"/>
      <w:ind w:firstLine="420" w:firstLineChars="200"/>
    </w:pPr>
    <w:rPr>
      <w:rFonts w:eastAsia="宋体"/>
      <w:sz w:val="24"/>
      <w:szCs w:val="22"/>
    </w:rPr>
  </w:style>
  <w:style w:type="character" w:customStyle="1" w:styleId="39">
    <w:name w:val="列表段落 字符"/>
    <w:link w:val="38"/>
    <w:qFormat/>
    <w:uiPriority w:val="0"/>
    <w:rPr>
      <w:rFonts w:eastAsia="宋体"/>
      <w:sz w:val="24"/>
    </w:rPr>
  </w:style>
  <w:style w:type="paragraph" w:customStyle="1" w:styleId="40">
    <w:name w:val="正文（绿盟科技）"/>
    <w:qFormat/>
    <w:uiPriority w:val="0"/>
    <w:pPr>
      <w:spacing w:line="300" w:lineRule="auto"/>
    </w:pPr>
    <w:rPr>
      <w:rFonts w:ascii="Arial" w:hAnsi="Arial" w:eastAsia="宋体" w:cs="Times New Roman"/>
      <w:kern w:val="0"/>
      <w:sz w:val="21"/>
      <w:szCs w:val="21"/>
      <w:lang w:val="en-US" w:eastAsia="zh-CN" w:bidi="ar-SA"/>
    </w:rPr>
  </w:style>
  <w:style w:type="paragraph" w:customStyle="1" w:styleId="41">
    <w:name w:val="Item Step in Table"/>
    <w:qFormat/>
    <w:uiPriority w:val="0"/>
    <w:pPr>
      <w:numPr>
        <w:ilvl w:val="0"/>
        <w:numId w:val="4"/>
      </w:numPr>
      <w:topLinePunct/>
      <w:spacing w:before="40" w:after="40"/>
    </w:pPr>
    <w:rPr>
      <w:rFonts w:ascii="Times New Roman" w:hAnsi="Times New Roman" w:eastAsia="宋体" w:cs="Arial"/>
      <w:kern w:val="0"/>
      <w:sz w:val="22"/>
      <w:szCs w:val="22"/>
      <w:lang w:val="en-US" w:eastAsia="zh-CN" w:bidi="ar-SA"/>
    </w:rPr>
  </w:style>
  <w:style w:type="paragraph" w:customStyle="1" w:styleId="42">
    <w:name w:val="Figure Description"/>
    <w:next w:val="1"/>
    <w:link w:val="43"/>
    <w:qFormat/>
    <w:uiPriority w:val="0"/>
    <w:pPr>
      <w:spacing w:afterLines="100"/>
      <w:jc w:val="center"/>
    </w:pPr>
    <w:rPr>
      <w:rFonts w:ascii="Arial" w:hAnsi="Arial" w:eastAsia="宋体" w:cs="Times New Roman"/>
      <w:kern w:val="0"/>
      <w:sz w:val="18"/>
      <w:szCs w:val="18"/>
      <w:lang w:val="en-US" w:eastAsia="zh-CN" w:bidi="ar-SA"/>
    </w:rPr>
  </w:style>
  <w:style w:type="character" w:customStyle="1" w:styleId="43">
    <w:name w:val="Figure Description Char"/>
    <w:link w:val="42"/>
    <w:qFormat/>
    <w:uiPriority w:val="0"/>
    <w:rPr>
      <w:rFonts w:ascii="Arial" w:hAnsi="Arial" w:eastAsia="宋体" w:cs="Times New Roman"/>
      <w:kern w:val="0"/>
      <w:sz w:val="18"/>
      <w:szCs w:val="18"/>
    </w:rPr>
  </w:style>
  <w:style w:type="table" w:customStyle="1" w:styleId="44">
    <w:name w:val="Table Normal"/>
    <w:semiHidden/>
    <w:unhideWhenUsed/>
    <w:qFormat/>
    <w:uiPriority w:val="2"/>
    <w:pPr>
      <w:widowControl w:val="0"/>
      <w:autoSpaceDE w:val="0"/>
      <w:autoSpaceDN w:val="0"/>
    </w:pPr>
    <w:rPr>
      <w:kern w:val="0"/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45">
    <w:name w:val="正文文本 字符"/>
    <w:basedOn w:val="21"/>
    <w:link w:val="11"/>
    <w:qFormat/>
    <w:uiPriority w:val="1"/>
    <w:rPr>
      <w:rFonts w:ascii="等线" w:hAnsi="等线" w:eastAsia="等线" w:cs="等线"/>
      <w:kern w:val="0"/>
      <w:sz w:val="22"/>
      <w:lang w:eastAsia="en-US"/>
    </w:rPr>
  </w:style>
  <w:style w:type="paragraph" w:customStyle="1" w:styleId="46">
    <w:name w:val="Table Paragraph"/>
    <w:basedOn w:val="1"/>
    <w:qFormat/>
    <w:uiPriority w:val="1"/>
    <w:pPr>
      <w:autoSpaceDE w:val="0"/>
      <w:autoSpaceDN w:val="0"/>
      <w:spacing w:before="125"/>
      <w:ind w:left="117"/>
      <w:jc w:val="left"/>
    </w:pPr>
    <w:rPr>
      <w:rFonts w:ascii="等线" w:hAnsi="等线" w:eastAsia="等线" w:cs="等线"/>
      <w:kern w:val="0"/>
      <w:sz w:val="22"/>
      <w:szCs w:val="22"/>
      <w:lang w:eastAsia="en-US"/>
    </w:rPr>
  </w:style>
  <w:style w:type="paragraph" w:customStyle="1" w:styleId="47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4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49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50">
    <w:name w:val="表格标题（SANGFOR）"/>
    <w:basedOn w:val="34"/>
    <w:qFormat/>
    <w:uiPriority w:val="0"/>
    <w:pPr>
      <w:tabs>
        <w:tab w:val="right" w:pos="9031"/>
      </w:tabs>
      <w:ind w:left="0"/>
      <w:jc w:val="center"/>
    </w:pPr>
    <w:rPr>
      <w:b/>
      <w:color w:val="FFFFFF" w:themeColor="background1"/>
      <w:sz w:val="18"/>
      <w:szCs w:val="18"/>
      <w14:textFill>
        <w14:solidFill>
          <w14:schemeClr w14:val="bg1"/>
        </w14:solidFill>
      </w14:textFill>
    </w:rPr>
  </w:style>
  <w:style w:type="paragraph" w:customStyle="1" w:styleId="51">
    <w:name w:val="表格内容（SANGFOR）"/>
    <w:qFormat/>
    <w:uiPriority w:val="0"/>
    <w:pPr>
      <w:snapToGrid w:val="0"/>
      <w:spacing w:before="80" w:after="80"/>
    </w:pPr>
    <w:rPr>
      <w:rFonts w:ascii="Arial" w:hAnsi="Arial" w:eastAsia="宋体" w:cs="Times New Roman"/>
      <w:sz w:val="18"/>
      <w:lang w:val="en-US" w:eastAsia="zh-CN" w:bidi="ar-SA"/>
    </w:rPr>
  </w:style>
  <w:style w:type="character" w:customStyle="1" w:styleId="52">
    <w:name w:val="font71"/>
    <w:basedOn w:val="21"/>
    <w:qFormat/>
    <w:uiPriority w:val="0"/>
    <w:rPr>
      <w:rFonts w:hint="eastAsia" w:ascii="等线" w:hAnsi="等线" w:eastAsia="等线" w:cs="等线"/>
      <w:b/>
      <w:bCs/>
      <w:color w:val="000000"/>
      <w:sz w:val="21"/>
      <w:szCs w:val="21"/>
      <w:u w:val="none"/>
    </w:rPr>
  </w:style>
  <w:style w:type="character" w:customStyle="1" w:styleId="53">
    <w:name w:val="font61"/>
    <w:basedOn w:val="21"/>
    <w:qFormat/>
    <w:uiPriority w:val="0"/>
    <w:rPr>
      <w:rFonts w:hint="eastAsia" w:ascii="华文仿宋" w:hAnsi="华文仿宋" w:eastAsia="华文仿宋" w:cs="华文仿宋"/>
      <w:b/>
      <w:bCs/>
      <w:color w:val="000000"/>
      <w:sz w:val="21"/>
      <w:szCs w:val="21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960</Words>
  <Characters>1075</Characters>
  <Lines>102</Lines>
  <Paragraphs>28</Paragraphs>
  <TotalTime>24</TotalTime>
  <ScaleCrop>false</ScaleCrop>
  <LinksUpToDate>false</LinksUpToDate>
  <CharactersWithSpaces>1122</CharactersWithSpaces>
  <Application>WPS Office_11.8.2.12086_F1E327BC-269C-435d-A152-05C5408002CA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2023-05-17T08:17:00Z</dcterms:created>
  <dc:creator>prince</dc:creator>
  <cp:lastModifiedBy>ROG</cp:lastModifiedBy>
  <dcterms:modified xsi:type="dcterms:W3CDTF">2024-07-26T07:29:37Z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2052-11.8.2.12086</vt:lpwstr>
  </property>
  <property fmtid="{D5CDD505-2E9C-101B-9397-08002B2CF9AE}" pid="3" name="ICV">
    <vt:lpwstr>D77A83CB133C420CA1C02C7D97624A2D</vt:lpwstr>
  </property>
</Properties>
</file>