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5B42EE" w14:textId="7324016A" w:rsidR="00A67BBD" w:rsidRPr="00A67BBD" w:rsidRDefault="004716BE" w:rsidP="00A67BBD">
      <w:pPr>
        <w:spacing w:line="240" w:lineRule="auto"/>
        <w:rPr>
          <w:lang w:val="en-US" w:eastAsia="en-US"/>
        </w:rPr>
      </w:pPr>
      <w:r>
        <w:rPr>
          <w:b/>
          <w:bCs/>
          <w:color w:val="000000"/>
          <w:lang w:val="en-US" w:eastAsia="en-US"/>
        </w:rPr>
        <w:t>The Effect of Rent Control on Eviction Rates: Causal Evidence from San Francisco</w:t>
      </w:r>
    </w:p>
    <w:p w14:paraId="4C2386EB" w14:textId="77777777" w:rsidR="00442B9C" w:rsidRPr="004D51D9" w:rsidRDefault="00A67BBD" w:rsidP="009914A5">
      <w:pPr>
        <w:pStyle w:val="Authornames"/>
      </w:pPr>
      <w:r w:rsidRPr="004D51D9">
        <w:t>Max Gardner</w:t>
      </w:r>
    </w:p>
    <w:p w14:paraId="09FBB2C7" w14:textId="77777777" w:rsidR="00997B0F" w:rsidRPr="004D51D9" w:rsidRDefault="00997B0F" w:rsidP="00A2360E">
      <w:pPr>
        <w:pStyle w:val="Affiliation"/>
      </w:pPr>
      <w:r w:rsidRPr="004D51D9">
        <w:t>Department</w:t>
      </w:r>
      <w:r w:rsidR="00A67BBD" w:rsidRPr="004D51D9">
        <w:t xml:space="preserve"> of Civil and Environmental Engineering</w:t>
      </w:r>
      <w:r w:rsidRPr="004D51D9">
        <w:t>, University</w:t>
      </w:r>
      <w:r w:rsidR="00A67BBD" w:rsidRPr="004D51D9">
        <w:t xml:space="preserve"> of California</w:t>
      </w:r>
      <w:r w:rsidRPr="004D51D9">
        <w:t xml:space="preserve">, </w:t>
      </w:r>
      <w:r w:rsidR="00A67BBD" w:rsidRPr="004D51D9">
        <w:t>Berkeley</w:t>
      </w:r>
      <w:r w:rsidRPr="004D51D9">
        <w:t xml:space="preserve">, </w:t>
      </w:r>
      <w:r w:rsidR="00A67BBD" w:rsidRPr="004D51D9">
        <w:t>USA</w:t>
      </w:r>
    </w:p>
    <w:p w14:paraId="180621C3" w14:textId="77777777" w:rsidR="000A4428" w:rsidRPr="004D51D9" w:rsidRDefault="00A67BBD" w:rsidP="00231BB0">
      <w:pPr>
        <w:pStyle w:val="Correspondencedetails"/>
      </w:pPr>
      <w:r w:rsidRPr="004D51D9">
        <w:t>mgardner@berkeley.edu</w:t>
      </w:r>
    </w:p>
    <w:p w14:paraId="3E49E26C" w14:textId="27760A2A" w:rsidR="00E77DB9" w:rsidRPr="004D51D9" w:rsidRDefault="00A67BBD" w:rsidP="005E2EEA">
      <w:pPr>
        <w:pStyle w:val="Notesoncontributors"/>
      </w:pPr>
      <w:r w:rsidRPr="004D51D9">
        <w:t xml:space="preserve">Max Gardner is a Ph.D. Candidate in Civil Systems Engineering in the Department of Civil and Environmental Engineering at UC Berkeley. </w:t>
      </w:r>
      <w:r w:rsidR="007979BB" w:rsidRPr="004D51D9">
        <w:t xml:space="preserve">His research interests include </w:t>
      </w:r>
      <w:r w:rsidR="00FF55DD">
        <w:t xml:space="preserve">housing affordability, behavioural modelling of </w:t>
      </w:r>
      <w:r w:rsidR="007979BB" w:rsidRPr="004D51D9">
        <w:t>location choice</w:t>
      </w:r>
      <w:r w:rsidR="00FF55DD">
        <w:t xml:space="preserve"> processes in the context of intra-urban migration</w:t>
      </w:r>
      <w:r w:rsidR="007979BB" w:rsidRPr="004D51D9">
        <w:t xml:space="preserve">, and </w:t>
      </w:r>
      <w:r w:rsidR="00FF55DD">
        <w:t>microsimulation for regional transportation and land use forecasting</w:t>
      </w:r>
      <w:r w:rsidR="007979BB" w:rsidRPr="004D51D9">
        <w:t>.</w:t>
      </w:r>
    </w:p>
    <w:p w14:paraId="338025FF" w14:textId="77777777" w:rsidR="008406AA" w:rsidRDefault="008406AA" w:rsidP="009B24B5">
      <w:pPr>
        <w:pStyle w:val="Articletitle"/>
      </w:pPr>
      <w:r>
        <w:br w:type="page"/>
      </w:r>
    </w:p>
    <w:p w14:paraId="563E7C88" w14:textId="4A43D97D" w:rsidR="00C246C5" w:rsidRPr="004D51D9" w:rsidRDefault="000C73AA" w:rsidP="009B24B5">
      <w:pPr>
        <w:pStyle w:val="Articletitle"/>
      </w:pPr>
      <w:r>
        <w:lastRenderedPageBreak/>
        <w:t>The Effect of Rent Control on Eviction Rates: Causal Evidence from San Francisco</w:t>
      </w:r>
    </w:p>
    <w:p w14:paraId="363C3F87" w14:textId="704B399E" w:rsidR="00266354" w:rsidRPr="004D51D9" w:rsidRDefault="004716BE" w:rsidP="00E01BAA">
      <w:pPr>
        <w:pStyle w:val="Abstract"/>
      </w:pPr>
      <w:r>
        <w:t>This paper presents causal evidence of a significant positive effect of rent control on eviction rates in San Francisco, CA. Using a publicly available dataset of eviction notices (n=21,806) and property tax records (n=</w:t>
      </w:r>
      <w:r w:rsidRPr="001C5D2E">
        <w:t>1</w:t>
      </w:r>
      <w:r>
        <w:t>,</w:t>
      </w:r>
      <w:r w:rsidRPr="001C5D2E">
        <w:t>978</w:t>
      </w:r>
      <w:r>
        <w:t>,</w:t>
      </w:r>
      <w:r w:rsidRPr="001C5D2E">
        <w:t>687</w:t>
      </w:r>
      <w:r>
        <w:t xml:space="preserve">) filed between 2007 and 2016, I am able to estimate a local average treatment effect of ~1.3% evictions per residential unit per year </w:t>
      </w:r>
      <w:r w:rsidR="000C73AA">
        <w:t>conditioned on</w:t>
      </w:r>
      <w:r>
        <w:t xml:space="preserve"> rent control</w:t>
      </w:r>
      <w:r w:rsidR="000C73AA">
        <w:t xml:space="preserve"> status</w:t>
      </w:r>
      <w:r>
        <w:t xml:space="preserve">. Compared to the baseline rate of eviction notices over this same time period, the findings suggest that for a given tenant, positive rent control status (i.e., living in a rent-controlled unit) increases the likelihood of eviction by approximately </w:t>
      </w:r>
      <w:r w:rsidRPr="00751EFE">
        <w:t>240%</w:t>
      </w:r>
      <w:r w:rsidRPr="00FF55DD">
        <w:rPr>
          <w:i/>
          <w:iCs/>
        </w:rPr>
        <w:t xml:space="preserve"> </w:t>
      </w:r>
      <w:r>
        <w:t>per year.</w:t>
      </w:r>
    </w:p>
    <w:p w14:paraId="732A4BD0" w14:textId="26EA0098" w:rsidR="00C0654B" w:rsidRDefault="00997B0F" w:rsidP="00FF55DD">
      <w:pPr>
        <w:pStyle w:val="Keywords"/>
      </w:pPr>
      <w:r w:rsidRPr="004D51D9">
        <w:t xml:space="preserve">Keywords: </w:t>
      </w:r>
      <w:r w:rsidR="007979BB" w:rsidRPr="004D51D9">
        <w:t>rent control</w:t>
      </w:r>
      <w:r w:rsidRPr="004D51D9">
        <w:t xml:space="preserve">; </w:t>
      </w:r>
      <w:r w:rsidR="007979BB" w:rsidRPr="004D51D9">
        <w:t>eviction</w:t>
      </w:r>
      <w:r w:rsidRPr="004D51D9">
        <w:t xml:space="preserve">; </w:t>
      </w:r>
      <w:r w:rsidR="007979BB" w:rsidRPr="004D51D9">
        <w:t>causal inference</w:t>
      </w:r>
      <w:r w:rsidR="00C0654B">
        <w:br w:type="page"/>
      </w:r>
    </w:p>
    <w:p w14:paraId="563C92F2" w14:textId="0E47CA58" w:rsidR="00997B0F" w:rsidRDefault="0082638A" w:rsidP="00106DAF">
      <w:pPr>
        <w:pStyle w:val="Heading1"/>
        <w:rPr>
          <w:rFonts w:cs="Times New Roman"/>
        </w:rPr>
      </w:pPr>
      <w:r w:rsidRPr="004D51D9">
        <w:rPr>
          <w:rFonts w:cs="Times New Roman"/>
        </w:rPr>
        <w:lastRenderedPageBreak/>
        <w:t>Introduction</w:t>
      </w:r>
    </w:p>
    <w:p w14:paraId="6CDE2B33" w14:textId="6F639294" w:rsidR="008E5F12" w:rsidRPr="008E5F12" w:rsidRDefault="00C0654B" w:rsidP="008E5F12">
      <w:pPr>
        <w:pStyle w:val="Heading2"/>
      </w:pPr>
      <w:r>
        <w:t>Literature Review</w:t>
      </w:r>
    </w:p>
    <w:p w14:paraId="222C22D7" w14:textId="77777777" w:rsidR="0082638A" w:rsidRPr="004D51D9" w:rsidRDefault="0082638A" w:rsidP="00FF55DD">
      <w:pPr>
        <w:pStyle w:val="Paragraph"/>
      </w:pPr>
      <w:r w:rsidRPr="004D51D9">
        <w:t>Few policies in the realm of housing and urban economics occupy as prominent a position in the popular consciousness as rent control. Yet until very recently, the number of new, empirical findings on its effectiveness as a regulatory tool have been few and far between</w:t>
      </w:r>
      <w:r w:rsidRPr="00F16756">
        <w:rPr>
          <w:rStyle w:val="FootnoteReference"/>
        </w:rPr>
        <w:footnoteReference w:id="1"/>
      </w:r>
      <w:r w:rsidRPr="004D51D9">
        <w:t xml:space="preserve">. Theoretical models </w:t>
      </w:r>
      <w:r w:rsidR="00CB6973">
        <w:t>proving</w:t>
      </w:r>
      <w:r w:rsidRPr="004D51D9">
        <w:t xml:space="preserve"> rent control’s many inefficiencies formed the basis of a decades-long consensus among economists who treated the science as not merely settled but self-evident </w:t>
      </w:r>
      <w:r w:rsidRPr="00C0654B">
        <w:fldChar w:fldCharType="begin"/>
      </w:r>
      <w:r w:rsidRPr="00C0654B">
        <w:instrText xml:space="preserve"> ADDIN ZOTERO_ITEM CSL_CITATION {"citationID":"Ctiz4lEO","properties":{"unsorted":true,"formattedCitation":"(Hazlett, 1982; Navarro, 1985; Jenkins, 2009)","plainCitation":"(Hazlett, 1982; Navarro, 1985; Jenkins, 2009)","noteIndex":0},"citationItems":[{"id":548,"uris":["http://zotero.org/users/3697207/items/ZEQ2V7EI"],"uri":["http://zotero.org/users/3697207/items/ZEQ2V7EI"],"itemData":{"id":548,"type":"article-journal","container-title":"Resolving the Housing Crisis: Government Policy, Decontrol and the Public Interest","note":"publisher: Ballinger Cambridge, MA","source":"Google Scholar","title":"Rent Controls and the housing Crisis","volume":"277","author":[{"family":"Hazlett","given":"Thomas"}],"issued":{"date-parts":[["1982"]]}}},{"id":543,"uris":["http://zotero.org/users/3697207/items/ZLGLQUES"],"uri":["http://zotero.org/users/3697207/items/ZLGLQUES"],"itemData":{"id":543,"type":"article-journal","container-title":"The Public Interest","note":"publisher: National Affairs, inc.","page":"83","source":"Google Scholar","title":"Rent control in cambridge, mass","volume":"78","author":[{"family":"Navarro","given":"Peter"}],"issued":{"date-parts":[["1985"]]}}},{"id":540,"uris":["http://zotero.org/users/3697207/items/EMZEE698"],"uri":["http://zotero.org/users/3697207/items/EMZEE698"],"itemData":{"id":540,"type":"article-journal","container-title":"Econ journal watch","issue":"1","source":"Google Scholar","title":"Rent control: Do economists agree?","title-short":"Rent control","volume":"6","author":[{"family":"Jenkins","given":"Blair"}],"issued":{"date-parts":[["2009"]]}}}],"schema":"https://github.com/citation-style-language/schema/raw/master/csl-citation.json"} </w:instrText>
      </w:r>
      <w:r w:rsidRPr="00C0654B">
        <w:fldChar w:fldCharType="separate"/>
      </w:r>
      <w:r w:rsidRPr="00C0654B">
        <w:t>(Hazlett, 1982; Navarro, 1985; Jenkins, 2009)</w:t>
      </w:r>
      <w:r w:rsidRPr="00C0654B">
        <w:fldChar w:fldCharType="end"/>
      </w:r>
      <w:r w:rsidRPr="004D51D9">
        <w:t xml:space="preserve">. At the same time, and perhaps paradoxically, a lack of detailed data on tenant and landlord outcomes made it very difficult to disentangle any of the empirical effects of rent control, good or bad, from the other market forces operating in complex urban systems. </w:t>
      </w:r>
    </w:p>
    <w:p w14:paraId="12414762" w14:textId="03E07E22" w:rsidR="0082638A" w:rsidRPr="004D51D9" w:rsidRDefault="0082638A" w:rsidP="0082638A">
      <w:r w:rsidRPr="004D51D9">
        <w:tab/>
        <w:t xml:space="preserve">The publication of </w:t>
      </w:r>
      <w:r w:rsidRPr="004D51D9">
        <w:fldChar w:fldCharType="begin"/>
      </w:r>
      <w:r w:rsidRPr="004D51D9">
        <w:instrText xml:space="preserve"> ADDIN ZOTERO_ITEM CSL_CITATION {"citationID":"lH1EKGoi","properties":{"formattedCitation":"(Arnott, 1995)","plainCitation":"(Arnott, 1995)","noteIndex":0},"citationItems":[{"id":554,"uris":["http://zotero.org/users/3697207/items/L24YS632"],"uri":["http://zotero.org/users/3697207/items/L24YS632"],"itemData":{"id":554,"type":"article-journal","container-title":"Journal of economic perspectives","issue":"1","page":"99–120","source":"Google Scholar","title":"Time for revisionism on rent control?","volume":"9","author":[{"family":"Arnott","given":"Richard"}],"issued":{"date-parts":[["1995"]]}}}],"schema":"https://github.com/citation-style-language/schema/raw/master/csl-citation.json"} </w:instrText>
      </w:r>
      <w:r w:rsidRPr="004D51D9">
        <w:fldChar w:fldCharType="separate"/>
      </w:r>
      <w:r w:rsidRPr="004D51D9">
        <w:t>(Arnott, 1995)</w:t>
      </w:r>
      <w:r w:rsidRPr="004D51D9">
        <w:fldChar w:fldCharType="end"/>
      </w:r>
      <w:r w:rsidRPr="004D51D9">
        <w:t xml:space="preserve"> seems to mark a turning point in the </w:t>
      </w:r>
      <w:r w:rsidR="00CB6973">
        <w:t>academic</w:t>
      </w:r>
      <w:r w:rsidRPr="004D51D9">
        <w:t xml:space="preserve"> literature on rent control. In that paper Arnott argued that modern, “second</w:t>
      </w:r>
      <w:r w:rsidR="004716BE">
        <w:t>-</w:t>
      </w:r>
      <w:r w:rsidRPr="004D51D9">
        <w:t xml:space="preserve">generation” rent controls were so nuanced and malleable -- compared to the </w:t>
      </w:r>
      <w:r w:rsidR="00C0654B" w:rsidRPr="004D51D9">
        <w:t>hard-line</w:t>
      </w:r>
      <w:r w:rsidRPr="004D51D9">
        <w:t xml:space="preserve"> rent </w:t>
      </w:r>
      <w:r w:rsidRPr="004D51D9">
        <w:rPr>
          <w:i/>
        </w:rPr>
        <w:t>freezes</w:t>
      </w:r>
      <w:r w:rsidRPr="004D51D9">
        <w:t xml:space="preserve"> imposed by their first</w:t>
      </w:r>
      <w:r w:rsidR="004716BE">
        <w:t>-</w:t>
      </w:r>
      <w:r w:rsidRPr="004D51D9">
        <w:t xml:space="preserve">generation </w:t>
      </w:r>
      <w:r w:rsidR="004716BE">
        <w:t>predecessors</w:t>
      </w:r>
      <w:r w:rsidRPr="004D51D9">
        <w:t xml:space="preserve"> -- that they defied </w:t>
      </w:r>
      <w:r w:rsidRPr="004D51D9">
        <w:rPr>
          <w:i/>
        </w:rPr>
        <w:t xml:space="preserve">a priori </w:t>
      </w:r>
      <w:r w:rsidRPr="004D51D9">
        <w:t xml:space="preserve">characterization as either good or bad policy. Arnott instead advocated for the use of empirical evidence to evaluate the effects of rent control on a case-by-case basis. Recently, as </w:t>
      </w:r>
      <w:r w:rsidR="00CB6973">
        <w:t>concerns over gentrification</w:t>
      </w:r>
      <w:r w:rsidRPr="004D51D9">
        <w:t xml:space="preserve"> and </w:t>
      </w:r>
      <w:r w:rsidR="00CB6973">
        <w:t xml:space="preserve">displacement </w:t>
      </w:r>
      <w:r w:rsidRPr="004D51D9">
        <w:t xml:space="preserve">in America’s “superstar cities” </w:t>
      </w:r>
      <w:r w:rsidRPr="004D51D9">
        <w:fldChar w:fldCharType="begin"/>
      </w:r>
      <w:r w:rsidRPr="004D51D9">
        <w:instrText xml:space="preserve"> ADDIN ZOTERO_ITEM CSL_CITATION {"citationID":"WevQY8LC","properties":{"formattedCitation":"(Gyourko et al., 2013)","plainCitation":"(Gyourko et al., 2013)","noteIndex":0},"citationItems":[{"id":585,"uris":["http://zotero.org/users/3697207/items/ASPI68KD"],"uri":["http://zotero.org/users/3697207/items/ASPI68KD"],"itemData":{"id":585,"type":"article-journal","container-title":"American Economic Journal: Economic Policy","issue":"4","page":"167–99","source":"Google Scholar","title":"Superstar cities","volume":"5","author":[{"family":"Gyourko","given":"Joseph"},{"family":"Mayer","given":"Christopher"},{"family":"Sinai","given":"Todd"}],"issued":{"date-parts":[["2013"]]}}}],"schema":"https://github.com/citation-style-language/schema/raw/master/csl-citation.json"} </w:instrText>
      </w:r>
      <w:r w:rsidRPr="004D51D9">
        <w:fldChar w:fldCharType="separate"/>
      </w:r>
      <w:r w:rsidRPr="004D51D9">
        <w:t>(Gyourko et al., 2013)</w:t>
      </w:r>
      <w:r w:rsidRPr="004D51D9">
        <w:fldChar w:fldCharType="end"/>
      </w:r>
      <w:r w:rsidRPr="004D51D9">
        <w:t xml:space="preserve"> have sparked renewed interest in the topic of rent control, a new body of empirical research has emerged which takes Arnott’s call as a common </w:t>
      </w:r>
      <w:r w:rsidRPr="004D51D9">
        <w:lastRenderedPageBreak/>
        <w:t xml:space="preserve">point of reference. Instead of asking whether or not rent control “works”, this new literature is focused on more targeted assessments like how rent control affects commute times in New Jersey </w:t>
      </w:r>
      <w:r w:rsidRPr="004D51D9">
        <w:fldChar w:fldCharType="begin"/>
      </w:r>
      <w:r w:rsidRPr="004D51D9">
        <w:instrText xml:space="preserve"> ADDIN ZOTERO_ITEM CSL_CITATION {"citationID":"OP4nJ477","properties":{"formattedCitation":"(Krol &amp; Svorny, 2005)","plainCitation":"(Krol &amp; Svorny, 2005)","noteIndex":0},"citationItems":[{"id":577,"uris":["http://zotero.org/users/3697207/items/SUB8I4D6"],"uri":["http://zotero.org/users/3697207/items/SUB8I4D6"],"itemData":{"id":577,"type":"article-journal","container-title":"Journal of Urban Economics","issue":"3","note":"publisher: Elsevier","page":"421–436","source":"Google Scholar","title":"The effect of rent control on commute times","volume":"58","author":[{"family":"Krol","given":"Robert"},{"family":"Svorny","given":"Shirley"}],"issued":{"date-parts":[["2005"]]}}}],"schema":"https://github.com/citation-style-language/schema/raw/master/csl-citation.json"} </w:instrText>
      </w:r>
      <w:r w:rsidRPr="004D51D9">
        <w:fldChar w:fldCharType="separate"/>
      </w:r>
      <w:r w:rsidRPr="004D51D9">
        <w:t>(Krol &amp; Svorny, 2005)</w:t>
      </w:r>
      <w:r w:rsidRPr="004D51D9">
        <w:fldChar w:fldCharType="end"/>
      </w:r>
      <w:r w:rsidRPr="004D51D9">
        <w:t>, or how the supply of controlled rental housing changes in response to local demand shocks in San Francisco</w:t>
      </w:r>
      <w:r w:rsidR="004716BE">
        <w:t xml:space="preserve"> </w:t>
      </w:r>
      <w:r w:rsidRPr="004D51D9">
        <w:fldChar w:fldCharType="begin"/>
      </w:r>
      <w:r w:rsidRPr="004D51D9">
        <w:instrText xml:space="preserve"> ADDIN ZOTERO_ITEM CSL_CITATION {"citationID":"wgfdfYVI","properties":{"formattedCitation":"(Asquith, 2019)","plainCitation":"(Asquith, 2019)","noteIndex":0},"citationItems":[{"id":491,"uris":["http://zotero.org/users/3697207/items/9NQ3QVUB"],"uri":["http://zotero.org/users/3697207/items/9NQ3QVUB"],"itemData":{"id":491,"type":"article-journal","source":"Google Scholar","title":"Do Rent Increases Reduce the Housing Supply under Rent Control? Evidence from Evictions in San Francisco","title-short":"Do Rent Increases Reduce the Housing Supply under Rent Control?","author":[{"family":"Asquith","given":"Brian"}],"issued":{"date-parts":[["2019"]]}}}],"schema":"https://github.com/citation-style-language/schema/raw/master/csl-citation.json"} </w:instrText>
      </w:r>
      <w:r w:rsidRPr="004D51D9">
        <w:fldChar w:fldCharType="separate"/>
      </w:r>
      <w:r w:rsidRPr="004D51D9">
        <w:t>(Asquith, 2019)</w:t>
      </w:r>
      <w:r w:rsidRPr="004D51D9">
        <w:fldChar w:fldCharType="end"/>
      </w:r>
      <w:r w:rsidRPr="004D51D9">
        <w:t xml:space="preserve">. </w:t>
      </w:r>
      <w:r w:rsidR="004716BE">
        <w:t>This</w:t>
      </w:r>
      <w:r w:rsidR="004716BE" w:rsidRPr="004D51D9">
        <w:t xml:space="preserve"> paper </w:t>
      </w:r>
      <w:r w:rsidR="004716BE">
        <w:t>asks a similarly targeted question about one important aspect of rent regulation</w:t>
      </w:r>
      <w:r w:rsidR="004716BE" w:rsidRPr="004D51D9">
        <w:t xml:space="preserve">: </w:t>
      </w:r>
      <w:r w:rsidR="004716BE" w:rsidRPr="00CB6973">
        <w:t>does rent control contribute to higher rates of eviction in San Francisco?</w:t>
      </w:r>
      <w:r w:rsidRPr="004D51D9">
        <w:t xml:space="preserve"> </w:t>
      </w:r>
      <w:r w:rsidR="00C0654B">
        <w:t xml:space="preserve">The answer to this question, and the </w:t>
      </w:r>
      <w:r w:rsidRPr="004D51D9">
        <w:t>findings presented here</w:t>
      </w:r>
      <w:r w:rsidR="00C0654B">
        <w:t>,</w:t>
      </w:r>
      <w:r w:rsidR="005F5D26">
        <w:t xml:space="preserve"> </w:t>
      </w:r>
      <w:r w:rsidRPr="004D51D9">
        <w:t xml:space="preserve">have potentially far-reaching ramifications for how we think about a policy designed specifically to </w:t>
      </w:r>
      <w:r w:rsidRPr="004D51D9">
        <w:rPr>
          <w:i/>
        </w:rPr>
        <w:t>increase</w:t>
      </w:r>
      <w:r w:rsidRPr="004D51D9">
        <w:t xml:space="preserve"> housing stability for </w:t>
      </w:r>
      <w:r w:rsidR="005F5D26">
        <w:t>incumbent</w:t>
      </w:r>
      <w:r w:rsidRPr="004D51D9">
        <w:t xml:space="preserve"> tenants.</w:t>
      </w:r>
    </w:p>
    <w:p w14:paraId="6D5C33B2" w14:textId="1E12963D" w:rsidR="0082638A" w:rsidRDefault="005F5D26" w:rsidP="0082638A">
      <w:pPr>
        <w:ind w:firstLine="720"/>
      </w:pPr>
      <w:r>
        <w:t>This paper makes two significant contributions to the literature. First, d</w:t>
      </w:r>
      <w:r w:rsidR="0082638A" w:rsidRPr="004D51D9">
        <w:t xml:space="preserve">espite the fact that tenants are the presumptive beneficiaries of rent control, most quantitative studies of the policy have tended to focus on diffuse, market-wide effects </w:t>
      </w:r>
      <w:r w:rsidR="00C0654B">
        <w:t>like</w:t>
      </w:r>
      <w:r w:rsidR="0082638A" w:rsidRPr="004D51D9">
        <w:t xml:space="preserve"> housing quality</w:t>
      </w:r>
      <w:r w:rsidR="00C0654B">
        <w:t xml:space="preserve">, </w:t>
      </w:r>
      <w:r w:rsidR="0082638A" w:rsidRPr="004D51D9">
        <w:t xml:space="preserve">supply, </w:t>
      </w:r>
      <w:r w:rsidR="00C0654B">
        <w:t>and affordability</w:t>
      </w:r>
      <w:r w:rsidR="0082638A" w:rsidRPr="004D51D9">
        <w:t xml:space="preserve"> </w:t>
      </w:r>
      <w:r w:rsidR="0082638A" w:rsidRPr="00C0654B">
        <w:fldChar w:fldCharType="begin"/>
      </w:r>
      <w:r w:rsidR="0082638A" w:rsidRPr="00C0654B">
        <w:instrText xml:space="preserve"> ADDIN ZOTERO_ITEM CSL_CITATION {"citationID":"uajAkvQc","properties":{"formattedCitation":"(Asquith, 2019; Autor et al., 2014; Mense et al., 2018; Sims, 2007)","plainCitation":"(Asquith, 2019; Autor et al., 2014; Mense et al., 2018; Sims, 2007)","noteIndex":0},"citationItems":[{"id":500,"uris":["http://zotero.org/users/3697207/items/P58MUSH3"],"uri":["http://zotero.org/users/3697207/items/P58MUSH3"],"itemData":{"id":500,"type":"article-journal","container-title":"Journal of Urban Economics","issue":"1","note":"publisher: Elsevier","page":"129–151","source":"Google Scholar","title":"Out of control: What can we learn from the end of Massachusetts rent control?","title-short":"Out of control","volume":"61","author":[{"family":"Sims","given":"David P."}],"issued":{"date-parts":[["2007"]]}}},{"id":497,"uris":["http://zotero.org/users/3697207/items/WEJEACP7"],"uri":["http://zotero.org/users/3697207/items/WEJEACP7"],"itemData":{"id":497,"type":"article-journal","container-title":"Journal of Political Economy","issue":"3","note":"publisher: University of Chicago Press Chicago, IL","page":"661–717","source":"Google Scholar","title":"Housing market spillovers: Evidence from the end of rent control in Cambridge, Massachusetts","title-short":"Housing market spillovers","volume":"122","author":[{"family":"Autor","given":"David H."},{"family":"Palmer","given":"Christopher J."},{"family":"Pathak","given":"Parag A."}],"issued":{"date-parts":[["2014"]]}}},{"id":505,"uris":["http://zotero.org/users/3697207/items/TMBFSRXU"],"uri":["http://zotero.org/users/3697207/items/TMBFSRXU"],"itemData":{"id":505,"type":"article-journal","note":"publisher: Kiel, Hamburg: ZBW-Leibniz-Informationszentrum Wirtschaft","source":"Google Scholar","title":"Empirics on the causal effects of rent control in Germany","author":[{"family":"Mense","given":"Andreas"},{"family":"Michelsen","given":"Claus"},{"family":"Kholodilin","given":"Konstantin"}],"issued":{"date-parts":[["2018"]]}}},{"id":491,"uris":["http://zotero.org/users/3697207/items/9NQ3QVUB"],"uri":["http://zotero.org/users/3697207/items/9NQ3QVUB"],"itemData":{"id":491,"type":"article-journal","source":"Google Scholar","title":"Do Rent Increases Reduce the Housing Supply under Rent Control? Evidence from Evictions in San Francisco","title-short":"Do Rent Increases Reduce the Housing Supply under Rent Control?","author":[{"family":"Asquith","given":"Brian"}],"issued":{"date-parts":[["2019"]]}}}],"schema":"https://github.com/citation-style-language/schema/raw/master/csl-citation.json"} </w:instrText>
      </w:r>
      <w:r w:rsidR="0082638A" w:rsidRPr="00C0654B">
        <w:fldChar w:fldCharType="separate"/>
      </w:r>
      <w:r w:rsidR="0082638A" w:rsidRPr="00C0654B">
        <w:t>(Asquith, 2019; Autor et al., 2014; Mense et al., 2018; Sims, 2007)</w:t>
      </w:r>
      <w:r w:rsidR="0082638A" w:rsidRPr="00C0654B">
        <w:fldChar w:fldCharType="end"/>
      </w:r>
      <w:r w:rsidR="0082638A" w:rsidRPr="004D51D9">
        <w:t xml:space="preserve">. </w:t>
      </w:r>
      <w:r w:rsidR="004716BE">
        <w:t>Instead</w:t>
      </w:r>
      <w:r w:rsidR="004716BE" w:rsidRPr="004D51D9">
        <w:t xml:space="preserve">, this </w:t>
      </w:r>
      <w:r w:rsidR="004716BE">
        <w:t xml:space="preserve">intent of this </w:t>
      </w:r>
      <w:r w:rsidR="004716BE" w:rsidRPr="004D51D9">
        <w:t xml:space="preserve">paper </w:t>
      </w:r>
      <w:r w:rsidR="004716BE">
        <w:t xml:space="preserve">is to </w:t>
      </w:r>
      <w:r w:rsidR="004716BE" w:rsidRPr="004D51D9">
        <w:t>re-centre tenant</w:t>
      </w:r>
      <w:r w:rsidR="004716BE">
        <w:t>s and tenant</w:t>
      </w:r>
      <w:r w:rsidR="004716BE" w:rsidRPr="004D51D9">
        <w:t xml:space="preserve"> outcomes </w:t>
      </w:r>
      <w:r w:rsidR="004716BE">
        <w:t xml:space="preserve">in the debate over rent control by providing the first causal estimate in the peer-reviewed literature of its effect on eviction rates. </w:t>
      </w:r>
      <w:r w:rsidR="0082638A" w:rsidRPr="004D51D9">
        <w:t xml:space="preserve">Secondly, this paper presents a novel approach for studying the direct effects of rent control by employing a popular causal inference method -- the regression discontinuity </w:t>
      </w:r>
      <w:r w:rsidR="00C0654B">
        <w:t xml:space="preserve">(RD) </w:t>
      </w:r>
      <w:r w:rsidR="0082638A" w:rsidRPr="004D51D9">
        <w:t xml:space="preserve">-- in an entirely new setting. Although the results of this particular study are specific to eviction rates in San Francisco, the same methodology can be used to investigate other effects of rent control in </w:t>
      </w:r>
      <w:r w:rsidR="00C0654B">
        <w:t xml:space="preserve">the many </w:t>
      </w:r>
      <w:r w:rsidR="0082638A" w:rsidRPr="004D51D9">
        <w:t xml:space="preserve">other jurisdictions where rent control </w:t>
      </w:r>
      <w:r w:rsidR="00C0654B">
        <w:t>eligibility</w:t>
      </w:r>
      <w:r w:rsidR="0082638A" w:rsidRPr="004D51D9">
        <w:t xml:space="preserve"> is determined by </w:t>
      </w:r>
      <w:r w:rsidR="00C0654B">
        <w:t xml:space="preserve">similar </w:t>
      </w:r>
      <w:r w:rsidR="004716BE">
        <w:t>criteria</w:t>
      </w:r>
      <w:r w:rsidR="0082638A" w:rsidRPr="004D51D9">
        <w:t>.</w:t>
      </w:r>
    </w:p>
    <w:p w14:paraId="54C68473" w14:textId="5A8907F3" w:rsidR="0082638A" w:rsidRPr="004D51D9" w:rsidRDefault="004716BE" w:rsidP="0082638A">
      <w:pPr>
        <w:ind w:firstLine="720"/>
      </w:pPr>
      <w:r>
        <w:t>The work presented here</w:t>
      </w:r>
      <w:r w:rsidR="00290EA4" w:rsidRPr="00290EA4">
        <w:t xml:space="preserve"> builds on two other recent studies </w:t>
      </w:r>
      <w:r w:rsidR="00C0654B">
        <w:t xml:space="preserve">of </w:t>
      </w:r>
      <w:r w:rsidR="00290EA4" w:rsidRPr="00290EA4">
        <w:t>rent control in San Francisco</w:t>
      </w:r>
      <w:r w:rsidR="00C0654B">
        <w:t>, both of which</w:t>
      </w:r>
      <w:r w:rsidR="0082638A" w:rsidRPr="004D51D9">
        <w:t xml:space="preserve"> </w:t>
      </w:r>
      <w:r w:rsidR="00C0654B">
        <w:t xml:space="preserve">employ </w:t>
      </w:r>
      <w:r w:rsidR="0082638A" w:rsidRPr="004D51D9">
        <w:t>quasi-experimental</w:t>
      </w:r>
      <w:r w:rsidR="00C0654B">
        <w:t xml:space="preserve"> designs.</w:t>
      </w:r>
      <w:r w:rsidR="0082638A" w:rsidRPr="004D51D9">
        <w:t xml:space="preserve"> </w:t>
      </w:r>
      <w:r w:rsidR="00C0654B">
        <w:t xml:space="preserve">The first is </w:t>
      </w:r>
      <w:r w:rsidR="0082638A" w:rsidRPr="004D51D9">
        <w:fldChar w:fldCharType="begin"/>
      </w:r>
      <w:r w:rsidR="0082638A" w:rsidRPr="004D51D9">
        <w:instrText xml:space="preserve"> ADDIN ZOTERO_ITEM CSL_CITATION {"citationID":"qFmgPrZl","properties":{"formattedCitation":"(Diamond et al., 2019)","plainCitation":"(Diamond et al., 2019)","noteIndex":0},"citationItems":[{"id":538,"uris":["http://zotero.org/users/3697207/items/4G8H3BVA"],"uri":["http://zotero.org/users/3697207/items/4G8H3BVA"],"itemData":{"id":538,"type":"article-journal","source":"Google Scholar","title":"The Effects of Rent Control Expansion on Tenants, Landlords, and Inequality: Evidence from San Francisco","title-short":"The Effects of Rent Control Expansion on Tenants, Landlords, and Inequality","author":[{"family":"Diamond","given":"Rebecca"},{"family":"McQuade","given":"Tim"},{"family":"Qian","given":"Franklin"}],"issued":{"date-parts":[["2019"]]}}}],"schema":"https://github.com/citation-style-language/schema/raw/master/csl-citation.json"} </w:instrText>
      </w:r>
      <w:r w:rsidR="0082638A" w:rsidRPr="004D51D9">
        <w:fldChar w:fldCharType="separate"/>
      </w:r>
      <w:r w:rsidR="0082638A" w:rsidRPr="004D51D9">
        <w:t>(Diamond et al., 2019)</w:t>
      </w:r>
      <w:r w:rsidR="0082638A" w:rsidRPr="004D51D9">
        <w:fldChar w:fldCharType="end"/>
      </w:r>
      <w:r w:rsidR="00C0654B">
        <w:t>, which</w:t>
      </w:r>
      <w:r w:rsidR="0082638A" w:rsidRPr="004D51D9">
        <w:rPr>
          <w:b/>
        </w:rPr>
        <w:t xml:space="preserve"> </w:t>
      </w:r>
      <w:r w:rsidR="0082638A" w:rsidRPr="004D51D9">
        <w:t xml:space="preserve">stands out as </w:t>
      </w:r>
      <w:r w:rsidR="00C0654B">
        <w:t>one the first observational studies to focus explicitly</w:t>
      </w:r>
      <w:r w:rsidR="0082638A" w:rsidRPr="004D51D9">
        <w:t xml:space="preserve"> o</w:t>
      </w:r>
      <w:r w:rsidR="00C0654B">
        <w:t>n</w:t>
      </w:r>
      <w:r w:rsidR="0082638A" w:rsidRPr="004D51D9">
        <w:t xml:space="preserve"> </w:t>
      </w:r>
      <w:r w:rsidR="0082638A" w:rsidRPr="004D51D9">
        <w:lastRenderedPageBreak/>
        <w:t>measuring outcomes</w:t>
      </w:r>
      <w:r w:rsidR="00C0654B">
        <w:t xml:space="preserve"> for existing tenants under rent control</w:t>
      </w:r>
      <w:r w:rsidR="0082638A" w:rsidRPr="004D51D9">
        <w:t>.</w:t>
      </w:r>
      <w:r w:rsidR="0082638A" w:rsidRPr="00F16756">
        <w:rPr>
          <w:rStyle w:val="FootnoteReference"/>
        </w:rPr>
        <w:footnoteReference w:id="2"/>
      </w:r>
      <w:r w:rsidR="0082638A" w:rsidRPr="004D51D9">
        <w:t xml:space="preserve"> </w:t>
      </w:r>
      <w:r w:rsidR="00B04A99">
        <w:t xml:space="preserve">Despite </w:t>
      </w:r>
      <w:r w:rsidR="006002CB">
        <w:t xml:space="preserve">the authors’ conclusion </w:t>
      </w:r>
      <w:r w:rsidR="00B04A99">
        <w:t>that rent control has likely worsened the effects of gentrification by reducing the supply of affordable housing</w:t>
      </w:r>
      <w:r w:rsidR="00C0654B">
        <w:t xml:space="preserve"> </w:t>
      </w:r>
      <w:r>
        <w:t>available to</w:t>
      </w:r>
      <w:r w:rsidR="00C0654B">
        <w:t xml:space="preserve"> future residents</w:t>
      </w:r>
      <w:r w:rsidR="00B04A99">
        <w:t xml:space="preserve">, </w:t>
      </w:r>
      <w:r w:rsidR="003738A7">
        <w:t>the</w:t>
      </w:r>
      <w:r w:rsidR="006002CB">
        <w:t xml:space="preserve">y </w:t>
      </w:r>
      <w:r w:rsidR="00C0654B">
        <w:t>do</w:t>
      </w:r>
      <w:r w:rsidR="003738A7">
        <w:t xml:space="preserve"> find </w:t>
      </w:r>
      <w:r w:rsidR="00865404">
        <w:t xml:space="preserve">that incumbent tenants “benefit on net” </w:t>
      </w:r>
      <w:r>
        <w:t>as a result of</w:t>
      </w:r>
      <w:r w:rsidR="00865404">
        <w:t xml:space="preserve"> </w:t>
      </w:r>
      <w:r w:rsidR="003738A7">
        <w:t>reduced rates of displacement</w:t>
      </w:r>
      <w:r w:rsidR="00C0654B">
        <w:t xml:space="preserve"> and below-market rents</w:t>
      </w:r>
      <w:r w:rsidR="00B04A99">
        <w:t>.</w:t>
      </w:r>
      <w:r w:rsidR="003738A7">
        <w:t xml:space="preserve"> </w:t>
      </w:r>
      <w:r w:rsidR="00AA1535">
        <w:t>This</w:t>
      </w:r>
      <w:r w:rsidR="003738A7">
        <w:t xml:space="preserve"> </w:t>
      </w:r>
      <w:r w:rsidR="00C0654B">
        <w:t xml:space="preserve">latter </w:t>
      </w:r>
      <w:r w:rsidR="003738A7">
        <w:t>finding</w:t>
      </w:r>
      <w:r w:rsidR="00AA1535">
        <w:t xml:space="preserve">, however, </w:t>
      </w:r>
      <w:r w:rsidR="003738A7">
        <w:t xml:space="preserve">does not directly </w:t>
      </w:r>
      <w:r w:rsidR="00865404">
        <w:t>test</w:t>
      </w:r>
      <w:r w:rsidR="003738A7">
        <w:t xml:space="preserve"> for </w:t>
      </w:r>
      <w:r w:rsidR="00865404">
        <w:t xml:space="preserve">differential rates of </w:t>
      </w:r>
      <w:r w:rsidR="00C0654B">
        <w:t xml:space="preserve">forced displacement </w:t>
      </w:r>
      <w:r w:rsidR="00865404">
        <w:t xml:space="preserve">among controlled and uncontrolled tenants, nor </w:t>
      </w:r>
      <w:r w:rsidR="00C0654B">
        <w:t xml:space="preserve">does it account for </w:t>
      </w:r>
      <w:r w:rsidR="00865404">
        <w:t xml:space="preserve">the potentially greater costs of a forced relocation relative to </w:t>
      </w:r>
      <w:r w:rsidR="00C0654B">
        <w:t xml:space="preserve">one that is </w:t>
      </w:r>
      <w:r w:rsidR="00865404">
        <w:t>voluntary or economically induced.</w:t>
      </w:r>
      <w:r w:rsidR="00052019">
        <w:t xml:space="preserve"> </w:t>
      </w:r>
      <w:r w:rsidR="0082638A" w:rsidRPr="004D51D9">
        <w:t xml:space="preserve">In contrast, this paper approaches rent control solely as a housing stability measure, and </w:t>
      </w:r>
      <w:r w:rsidR="007B2AC7">
        <w:t xml:space="preserve">in doing so </w:t>
      </w:r>
      <w:r w:rsidR="0082638A" w:rsidRPr="004D51D9">
        <w:t xml:space="preserve">offers </w:t>
      </w:r>
      <w:r w:rsidR="007B2AC7">
        <w:t xml:space="preserve">strong </w:t>
      </w:r>
      <w:r w:rsidR="0082638A" w:rsidRPr="004D51D9">
        <w:t xml:space="preserve">evidence </w:t>
      </w:r>
      <w:r w:rsidR="00865404">
        <w:t xml:space="preserve">that any </w:t>
      </w:r>
      <w:r w:rsidR="007B2AC7">
        <w:t>attempt to quantify the benefit of rent control must also take into account the effect of rent control-induced eviction</w:t>
      </w:r>
      <w:r>
        <w:t xml:space="preserve"> on incumbent tenants</w:t>
      </w:r>
      <w:r w:rsidR="007B2AC7">
        <w:t xml:space="preserve">. </w:t>
      </w:r>
      <w:r w:rsidR="0082638A" w:rsidRPr="004D51D9">
        <w:t xml:space="preserve">Another significant difference is that </w:t>
      </w:r>
      <w:r w:rsidR="00C0654B">
        <w:t>this</w:t>
      </w:r>
      <w:r w:rsidR="0082638A" w:rsidRPr="004D51D9">
        <w:t xml:space="preserve"> study covers the entire stock of rent controlled properties in the city of San Francisco, whereas</w:t>
      </w:r>
      <w:r w:rsidR="00C0654B">
        <w:t xml:space="preserve"> the identification strategy employed by</w:t>
      </w:r>
      <w:r w:rsidR="0082638A" w:rsidRPr="004D51D9">
        <w:t xml:space="preserve"> </w:t>
      </w:r>
      <w:r w:rsidR="0082638A" w:rsidRPr="004D51D9">
        <w:fldChar w:fldCharType="begin"/>
      </w:r>
      <w:r w:rsidR="0082638A" w:rsidRPr="004D51D9">
        <w:instrText xml:space="preserve"> ADDIN ZOTERO_ITEM CSL_CITATION {"citationID":"fgFPUA0a","properties":{"formattedCitation":"(Diamond et al., 2019)","plainCitation":"(Diamond et al., 2019)","noteIndex":0},"citationItems":[{"id":538,"uris":["http://zotero.org/users/3697207/items/4G8H3BVA"],"uri":["http://zotero.org/users/3697207/items/4G8H3BVA"],"itemData":{"id":538,"type":"article-journal","source":"Google Scholar","title":"The Effects of Rent Control Expansion on Tenants, Landlords, and Inequality: Evidence from San Francisco","title-short":"The Effects of Rent Control Expansion on Tenants, Landlords, and Inequality","author":[{"family":"Diamond","given":"Rebecca"},{"family":"McQuade","given":"Tim"},{"family":"Qian","given":"Franklin"}],"issued":{"date-parts":[["2019"]]}}}],"schema":"https://github.com/citation-style-language/schema/raw/master/csl-citation.json"} </w:instrText>
      </w:r>
      <w:r w:rsidR="0082638A" w:rsidRPr="004D51D9">
        <w:fldChar w:fldCharType="separate"/>
      </w:r>
      <w:r w:rsidR="0082638A" w:rsidRPr="004D51D9">
        <w:t>(Diamond et al., 2019)</w:t>
      </w:r>
      <w:r w:rsidR="0082638A" w:rsidRPr="004D51D9">
        <w:fldChar w:fldCharType="end"/>
      </w:r>
      <w:r w:rsidR="0082638A" w:rsidRPr="004D51D9">
        <w:t xml:space="preserve"> </w:t>
      </w:r>
      <w:r w:rsidR="00C0654B">
        <w:t xml:space="preserve">restricts </w:t>
      </w:r>
      <w:r>
        <w:t>their</w:t>
      </w:r>
      <w:r w:rsidR="00C0654B">
        <w:t xml:space="preserve"> analysis to</w:t>
      </w:r>
      <w:r w:rsidR="0082638A" w:rsidRPr="004D51D9">
        <w:t xml:space="preserve"> </w:t>
      </w:r>
      <w:r w:rsidR="007B2AC7">
        <w:t>small multifamily propertie</w:t>
      </w:r>
      <w:r w:rsidR="00C0654B">
        <w:t>s</w:t>
      </w:r>
      <w:r>
        <w:t xml:space="preserve"> (&lt;= 4 units)</w:t>
      </w:r>
      <w:r w:rsidR="007B2AC7">
        <w:t>.</w:t>
      </w:r>
      <w:r w:rsidR="0082638A" w:rsidRPr="004D51D9">
        <w:t xml:space="preserve"> </w:t>
      </w:r>
      <w:r w:rsidR="007B2AC7">
        <w:t xml:space="preserve">As such, the findings presented here are </w:t>
      </w:r>
      <w:r w:rsidR="0082638A" w:rsidRPr="004D51D9">
        <w:t>more general.</w:t>
      </w:r>
    </w:p>
    <w:p w14:paraId="5ED42111" w14:textId="1F0E31E7" w:rsidR="0082638A" w:rsidRDefault="0082638A" w:rsidP="0018476D">
      <w:pPr>
        <w:ind w:firstLine="720"/>
      </w:pPr>
      <w:r w:rsidRPr="004D51D9">
        <w:t xml:space="preserve">The paper most closely resembling this one methodologically is </w:t>
      </w:r>
      <w:r w:rsidRPr="004D51D9">
        <w:fldChar w:fldCharType="begin"/>
      </w:r>
      <w:r w:rsidRPr="004D51D9">
        <w:instrText xml:space="preserve"> ADDIN ZOTERO_ITEM CSL_CITATION {"citationID":"AQmSuEkD","properties":{"formattedCitation":"(Asquith, 2019)","plainCitation":"(Asquith, 2019)","noteIndex":0},"citationItems":[{"id":491,"uris":["http://zotero.org/users/3697207/items/9NQ3QVUB"],"uri":["http://zotero.org/users/3697207/items/9NQ3QVUB"],"itemData":{"id":491,"type":"article-journal","source":"Google Scholar","title":"Do Rent Increases Reduce the Housing Supply under Rent Control? Evidence from Evictions in San Francisco","title-short":"Do Rent Increases Reduce the Housing Supply under Rent Control?","author":[{"family":"Asquith","given":"Brian"}],"issued":{"date-parts":[["2019"]]}}}],"schema":"https://github.com/citation-style-language/schema/raw/master/csl-citation.json"} </w:instrText>
      </w:r>
      <w:r w:rsidRPr="004D51D9">
        <w:fldChar w:fldCharType="separate"/>
      </w:r>
      <w:r w:rsidRPr="00C0654B">
        <w:t>(Asquith, 2019)</w:t>
      </w:r>
      <w:r w:rsidRPr="004D51D9">
        <w:fldChar w:fldCharType="end"/>
      </w:r>
      <w:r w:rsidRPr="004D51D9">
        <w:t xml:space="preserve">. Asquith leverages </w:t>
      </w:r>
      <w:r w:rsidR="004716BE" w:rsidRPr="004D51D9">
        <w:t>very similar dataset</w:t>
      </w:r>
      <w:r w:rsidR="004716BE">
        <w:t>s</w:t>
      </w:r>
      <w:r w:rsidR="004716BE" w:rsidRPr="004D51D9">
        <w:t xml:space="preserve"> of eviction notices and tax assessor records, </w:t>
      </w:r>
      <w:r w:rsidR="004716BE">
        <w:t>along with</w:t>
      </w:r>
      <w:r w:rsidR="004716BE" w:rsidRPr="004D51D9">
        <w:t xml:space="preserve"> </w:t>
      </w:r>
      <w:r w:rsidR="004716BE">
        <w:t>a selection-on-</w:t>
      </w:r>
      <w:proofErr w:type="spellStart"/>
      <w:r w:rsidR="004716BE">
        <w:t>unobservables</w:t>
      </w:r>
      <w:proofErr w:type="spellEnd"/>
      <w:r w:rsidR="004716BE" w:rsidRPr="004D51D9">
        <w:t xml:space="preserve"> design</w:t>
      </w:r>
      <w:r w:rsidR="004716BE">
        <w:t xml:space="preserve"> </w:t>
      </w:r>
      <w:r w:rsidR="004716BE" w:rsidRPr="004D51D9">
        <w:t xml:space="preserve">to show that landlords decrease the supply of rent-controlled housing via evictions in response to local demand shocks. </w:t>
      </w:r>
      <w:r w:rsidR="007B2AC7">
        <w:t xml:space="preserve">Rather than observing these shocks, however, the author </w:t>
      </w:r>
      <w:r w:rsidR="007B2AC7" w:rsidRPr="004D51D9">
        <w:t xml:space="preserve">relies on a secondary model </w:t>
      </w:r>
      <w:r w:rsidR="00C0654B">
        <w:t>to</w:t>
      </w:r>
      <w:r w:rsidR="007B2AC7" w:rsidRPr="004D51D9">
        <w:t xml:space="preserve"> estimate the hedonic price effects of </w:t>
      </w:r>
      <w:r w:rsidR="00C0654B">
        <w:t>newly sited</w:t>
      </w:r>
      <w:r w:rsidR="007B2AC7" w:rsidRPr="004D51D9">
        <w:t xml:space="preserve"> transit amenities targeted towards high-income knowledge workers</w:t>
      </w:r>
      <w:r w:rsidR="007B2AC7">
        <w:t xml:space="preserve">. </w:t>
      </w:r>
      <w:r w:rsidR="004716BE">
        <w:t xml:space="preserve">This two-stage design makes the results of the primary instrumental variables (IV) model difficult to interpret and limits their relevance to the </w:t>
      </w:r>
      <w:r w:rsidR="004716BE">
        <w:lastRenderedPageBreak/>
        <w:t xml:space="preserve">context of local demand shocks. The results of the IV model also depend heavily on the validity of the estimated shocks, which the author concedes are implausibly large. The biggest factor distinguishing this study from Asquith’s, however, is that </w:t>
      </w:r>
      <w:r w:rsidR="004716BE" w:rsidRPr="004D51D9">
        <w:t xml:space="preserve">the actual treatment variable of interest </w:t>
      </w:r>
      <w:r w:rsidR="004716BE">
        <w:t xml:space="preserve">in Asquith’s study </w:t>
      </w:r>
      <w:r w:rsidR="004716BE" w:rsidRPr="004D51D9">
        <w:t xml:space="preserve">is </w:t>
      </w:r>
      <w:r w:rsidR="004716BE">
        <w:t xml:space="preserve">the </w:t>
      </w:r>
      <w:r w:rsidR="004716BE" w:rsidRPr="004D51D9">
        <w:t xml:space="preserve">demand shock, </w:t>
      </w:r>
      <w:r w:rsidR="004716BE">
        <w:t>from which</w:t>
      </w:r>
      <w:r w:rsidR="004716BE" w:rsidRPr="004D51D9">
        <w:t xml:space="preserve"> it impossible to disentangle the direct effect of rent control</w:t>
      </w:r>
      <w:r w:rsidR="004716BE">
        <w:t>. This design works well for the purposes of that study, which is primarily concerned with evictions as a channel through which landlords can manipulate the supply of controlled rental housing. In this sense, the findings of Asquith are not that dissimilar from</w:t>
      </w:r>
      <w:r w:rsidR="004716BE" w:rsidRPr="00E270AD">
        <w:t xml:space="preserve"> </w:t>
      </w:r>
      <w:r w:rsidR="004716BE" w:rsidRPr="004D51D9">
        <w:t>previous research</w:t>
      </w:r>
      <w:r w:rsidR="004716BE">
        <w:t xml:space="preserve"> demonstrating</w:t>
      </w:r>
      <w:r w:rsidR="004716BE" w:rsidRPr="004D51D9">
        <w:t xml:space="preserve"> a depressive effect of rent control on housing supply</w:t>
      </w:r>
      <w:r w:rsidR="00E270AD" w:rsidRPr="004D51D9">
        <w:t xml:space="preserve"> </w:t>
      </w:r>
      <w:r w:rsidR="00E270AD" w:rsidRPr="004D51D9">
        <w:fldChar w:fldCharType="begin"/>
      </w:r>
      <w:r w:rsidR="00E270AD" w:rsidRPr="004D51D9">
        <w:instrText xml:space="preserve"> ADDIN ZOTERO_ITEM CSL_CITATION {"citationID":"18B3O5aq","properties":{"formattedCitation":"(Autor et al., 2014; Diamond et al., 2019; Sims, 2007)","plainCitation":"(Autor et al., 2014; Diamond et al., 2019; Sims, 2007)","noteIndex":0},"citationItems":[{"id":500,"uris":["http://zotero.org/users/3697207/items/P58MUSH3"],"uri":["http://zotero.org/users/3697207/items/P58MUSH3"],"itemData":{"id":500,"type":"article-journal","container-title":"Journal of Urban Economics","issue":"1","note":"publisher: Elsevier","page":"129–151","source":"Google Scholar","title":"Out of control: What can we learn from the end of Massachusetts rent control?","title-short":"Out of control","volume":"61","author":[{"family":"Sims","given":"David P."}],"issued":{"date-parts":[["2007"]]}}},{"id":497,"uris":["http://zotero.org/users/3697207/items/WEJEACP7"],"uri":["http://zotero.org/users/3697207/items/WEJEACP7"],"itemData":{"id":497,"type":"article-journal","container-title":"Journal of Political Economy","issue":"3","note":"publisher: University of Chicago Press Chicago, IL","page":"661–717","source":"Google Scholar","title":"Housing market spillovers: Evidence from the end of rent control in Cambridge, Massachusetts","title-short":"Housing market spillovers","volume":"122","author":[{"family":"Autor","given":"David H."},{"family":"Palmer","given":"Christopher J."},{"family":"Pathak","given":"Parag A."}],"issued":{"date-parts":[["2014"]]}}},{"id":538,"uris":["http://zotero.org/users/3697207/items/4G8H3BVA"],"uri":["http://zotero.org/users/3697207/items/4G8H3BVA"],"itemData":{"id":538,"type":"article-journal","source":"Google Scholar","title":"The Effects of Rent Control Expansion on Tenants, Landlords, and Inequality: Evidence from San Francisco","title-short":"The Effects of Rent Control Expansion on Tenants, Landlords, and Inequality","author":[{"family":"Diamond","given":"Rebecca"},{"family":"McQuade","given":"Tim"},{"family":"Qian","given":"Franklin"}],"issued":{"date-parts":[["2019"]]}}}],"schema":"https://github.com/citation-style-language/schema/raw/master/csl-citation.json"} </w:instrText>
      </w:r>
      <w:r w:rsidR="00E270AD" w:rsidRPr="004D51D9">
        <w:fldChar w:fldCharType="separate"/>
      </w:r>
      <w:r w:rsidR="00E270AD" w:rsidRPr="004D51D9">
        <w:t>(Autor et al., 2014; Diamond et al., 2019; Sims, 2007)</w:t>
      </w:r>
      <w:r w:rsidR="00E270AD" w:rsidRPr="004D51D9">
        <w:fldChar w:fldCharType="end"/>
      </w:r>
      <w:r w:rsidR="00E270AD" w:rsidRPr="004D51D9">
        <w:t>.</w:t>
      </w:r>
      <w:r w:rsidR="00E270AD">
        <w:t xml:space="preserve"> </w:t>
      </w:r>
      <w:r w:rsidR="00C43E4E" w:rsidRPr="004D51D9">
        <w:t xml:space="preserve">In contrast, </w:t>
      </w:r>
      <w:r w:rsidR="009079AB">
        <w:t xml:space="preserve">this paper treats eviction as a cost </w:t>
      </w:r>
      <w:r w:rsidR="00C0654B">
        <w:t xml:space="preserve">that is </w:t>
      </w:r>
      <w:r w:rsidR="004716BE">
        <w:t xml:space="preserve">primarily </w:t>
      </w:r>
      <w:r w:rsidR="009079AB">
        <w:t xml:space="preserve">borne by incumbent tenants rather than a housing market. </w:t>
      </w:r>
      <w:r w:rsidR="00C0654B">
        <w:t>By centring tenant outcomes instead of market effects, my findings are more relevant to an evaluation of rent control as tool for promoting housing stability.</w:t>
      </w:r>
    </w:p>
    <w:p w14:paraId="0B057B98" w14:textId="30CFCBF0" w:rsidR="0018476D" w:rsidRDefault="00C0654B" w:rsidP="00C0654B">
      <w:pPr>
        <w:pStyle w:val="Heading2"/>
        <w:rPr>
          <w:i w:val="0"/>
          <w:iCs w:val="0"/>
        </w:rPr>
      </w:pPr>
      <w:r>
        <w:t>Rent Control in San Francisco</w:t>
      </w:r>
    </w:p>
    <w:p w14:paraId="62894990" w14:textId="36417A56" w:rsidR="00C0654B" w:rsidRDefault="00C0654B" w:rsidP="00C0654B">
      <w:pPr>
        <w:pStyle w:val="Paragraph"/>
      </w:pPr>
      <w:r>
        <w:t>Rent control in San Francisco was established in 1979 with the passage of the Residential Rent Stabilization and Arbitration Ordinance, also known as the Rent Ordinance</w:t>
      </w:r>
      <w:r>
        <w:rPr>
          <w:rStyle w:val="FootnoteReference"/>
        </w:rPr>
        <w:footnoteReference w:id="3"/>
      </w:r>
      <w:r>
        <w:t xml:space="preserve">. The provisions of the ordinance are typical of </w:t>
      </w:r>
      <w:r w:rsidRPr="004716BE">
        <w:t>second</w:t>
      </w:r>
      <w:r w:rsidR="004716BE">
        <w:t>-</w:t>
      </w:r>
      <w:r w:rsidRPr="004716BE">
        <w:t>generation</w:t>
      </w:r>
      <w:r>
        <w:rPr>
          <w:i/>
          <w:iCs/>
        </w:rPr>
        <w:t xml:space="preserve"> </w:t>
      </w:r>
      <w:r>
        <w:t xml:space="preserve">controls, which are often (and more accurately) described as </w:t>
      </w:r>
      <w:r w:rsidR="004716BE">
        <w:t xml:space="preserve">rent </w:t>
      </w:r>
      <w:r w:rsidR="004716BE">
        <w:rPr>
          <w:i/>
          <w:iCs/>
        </w:rPr>
        <w:t>stabilization</w:t>
      </w:r>
      <w:r w:rsidR="004716BE">
        <w:t xml:space="preserve"> rather than rent control</w:t>
      </w:r>
      <w:r>
        <w:t xml:space="preserve"> because they include explicit mechanisms by which rents can be increased over time.</w:t>
      </w:r>
      <w:r>
        <w:rPr>
          <w:rStyle w:val="FootnoteReference"/>
        </w:rPr>
        <w:footnoteReference w:id="4"/>
      </w:r>
      <w:r>
        <w:t xml:space="preserve"> </w:t>
      </w:r>
      <w:r w:rsidR="004716BE">
        <w:t>Annual</w:t>
      </w:r>
      <w:r>
        <w:t xml:space="preserve"> allowable rent increases are </w:t>
      </w:r>
      <w:r w:rsidR="004716BE">
        <w:t xml:space="preserve">often </w:t>
      </w:r>
      <w:r>
        <w:t>pegged to a macroeconomic indicator like the Consumer Price Index (CPI), as is the case for San Francisco.</w:t>
      </w:r>
    </w:p>
    <w:p w14:paraId="2ECF96B2" w14:textId="35F60629" w:rsidR="00C0654B" w:rsidRPr="00C0654B" w:rsidRDefault="00C0654B" w:rsidP="00C0654B">
      <w:pPr>
        <w:pStyle w:val="Newparagraph"/>
        <w:rPr>
          <w:i/>
          <w:iCs/>
        </w:rPr>
      </w:pPr>
      <w:r>
        <w:lastRenderedPageBreak/>
        <w:t xml:space="preserve">Beginning in 1995, in accordance with California state law, the SF Rent Ordinance was amended to include a vacancy decontrol provision. Vacancy decontrol is another common feature of second generation rent regulations that allows owners of controlled properties to return their rents to market rate at the start of each new tenancy. Since the inception of vacancy decontrol in California, renters there have worried about the incentive it creates for rent controlled landlords to keep tenant durations short and tenant turnover high </w:t>
      </w:r>
      <w:r>
        <w:fldChar w:fldCharType="begin"/>
      </w:r>
      <w:r>
        <w:instrText xml:space="preserve"> ADDIN ZOTERO_ITEM CSL_CITATION {"citationID":"H4vSYJeY","properties":{"formattedCitation":"(Herscher, 1995)","plainCitation":"(Herscher, 1995)","noteIndex":0},"citationItems":[{"id":633,"uris":["http://zotero.org/users/3697207/items/X6ZTPNPZ"],"uri":["http://zotero.org/users/3697207/items/X6ZTPNPZ"],"itemData":{"id":633,"type":"webpage","abstract":"RENT STABILIZATION BOARDBerkeley tenant advocates vowed Tuesday to fight for repeal of...","container-title":"SFGATE","language":"en-US","note":"section: News","title":"Berkeley Renters Vow to Resist End of Controls","URL":"https://www.sfgate.com/news/article/Berkeley-Renters-Vow-to-Resist-End-of-Controls-3027981.php","author":[{"family":"Herscher","given":"Elaine"}],"accessed":{"date-parts":[["2021",7,1]]},"issued":{"date-parts":[["1995",7,27]]}}}],"schema":"https://github.com/citation-style-language/schema/raw/master/csl-citation.json"} </w:instrText>
      </w:r>
      <w:r>
        <w:fldChar w:fldCharType="separate"/>
      </w:r>
      <w:r>
        <w:rPr>
          <w:noProof/>
        </w:rPr>
        <w:t>(Herscher, 1995)</w:t>
      </w:r>
      <w:r>
        <w:fldChar w:fldCharType="end"/>
      </w:r>
      <w:r>
        <w:t xml:space="preserve">. Asquith </w:t>
      </w:r>
      <w:r>
        <w:fldChar w:fldCharType="begin"/>
      </w:r>
      <w:r>
        <w:instrText xml:space="preserve"> ADDIN ZOTERO_ITEM CSL_CITATION {"citationID":"gtkTMWsP","properties":{"formattedCitation":"(2019)","plainCitation":"(2019)","noteIndex":0},"citationItems":[{"id":491,"uris":["http://zotero.org/users/3697207/items/9NQ3QVUB"],"uri":["http://zotero.org/users/3697207/items/9NQ3QVUB"],"itemData":{"id":491,"type":"article-journal","source":"Google Scholar","title":"Do Rent Increases Reduce the Housing Supply under Rent Control? Evidence from Evictions in San Francisco","title-short":"Do Rent Increases Reduce the Housing Supply under Rent Control?","author":[{"family":"Asquith","given":"Brian"}],"issued":{"date-parts":[["2019"]]}},"suppress-author":true}],"schema":"https://github.com/citation-style-language/schema/raw/master/csl-citation.json"} </w:instrText>
      </w:r>
      <w:r>
        <w:fldChar w:fldCharType="separate"/>
      </w:r>
      <w:r>
        <w:rPr>
          <w:noProof/>
        </w:rPr>
        <w:t>(2019)</w:t>
      </w:r>
      <w:r>
        <w:fldChar w:fldCharType="end"/>
      </w:r>
      <w:r>
        <w:t xml:space="preserve"> and others have shown evidence to suggest that this incentive may in fact be impacting displacement rates for rent controlled tenants, but studies so far have been unable to disentangle the effect of rent control on forced or induced relocation from other regional dynamics.</w:t>
      </w:r>
    </w:p>
    <w:p w14:paraId="6C6337B4" w14:textId="77777777" w:rsidR="0082638A" w:rsidRPr="004D51D9" w:rsidRDefault="00EB423F" w:rsidP="00EB423F">
      <w:pPr>
        <w:pStyle w:val="Heading1"/>
        <w:rPr>
          <w:rFonts w:cs="Times New Roman"/>
        </w:rPr>
      </w:pPr>
      <w:r w:rsidRPr="004D51D9">
        <w:rPr>
          <w:rFonts w:cs="Times New Roman"/>
        </w:rPr>
        <w:t>Materials and Methods</w:t>
      </w:r>
    </w:p>
    <w:p w14:paraId="355CEB27" w14:textId="77777777" w:rsidR="00EB423F" w:rsidRPr="004D51D9" w:rsidRDefault="00EB423F" w:rsidP="00EB423F">
      <w:pPr>
        <w:pStyle w:val="Heading2"/>
        <w:rPr>
          <w:rFonts w:cs="Times New Roman"/>
        </w:rPr>
      </w:pPr>
      <w:r w:rsidRPr="004D51D9">
        <w:rPr>
          <w:rFonts w:cs="Times New Roman"/>
        </w:rPr>
        <w:t>Data</w:t>
      </w:r>
    </w:p>
    <w:p w14:paraId="48B60D43" w14:textId="3C120B0E" w:rsidR="00EB423F" w:rsidRPr="004D51D9" w:rsidRDefault="00EB423F" w:rsidP="00EB423F">
      <w:pPr>
        <w:pStyle w:val="Paragraph"/>
      </w:pPr>
      <w:r w:rsidRPr="004D51D9">
        <w:t>The main data source is a database of eviction notices filed with the San Francisco Rent Board between 2007 and 2016. These data (n=</w:t>
      </w:r>
      <w:r w:rsidR="00B2041B">
        <w:t>21,8</w:t>
      </w:r>
      <w:r w:rsidR="00DA489D">
        <w:t>06</w:t>
      </w:r>
      <w:r w:rsidRPr="004D51D9">
        <w:t>) represent the full universe of eviction notices filed by landlords against tenants in San Francisco during that ten</w:t>
      </w:r>
      <w:r w:rsidR="00F16756">
        <w:t>-</w:t>
      </w:r>
      <w:r w:rsidRPr="004D51D9">
        <w:t>year period. The detailed data used for this study are made available by written request from the San Francisco Rent Board, but a geographically anonymized version of this dataset can be downloaded directly from the city’s open data portal.</w:t>
      </w:r>
      <w:r w:rsidR="00C96266" w:rsidRPr="00F16756">
        <w:rPr>
          <w:rStyle w:val="FootnoteReference"/>
        </w:rPr>
        <w:footnoteReference w:id="5"/>
      </w:r>
      <w:r w:rsidRPr="004D51D9">
        <w:t xml:space="preserve"> Most of the eviction records include the </w:t>
      </w:r>
      <w:r w:rsidR="00C0654B">
        <w:t xml:space="preserve">eviction type (e.g. </w:t>
      </w:r>
      <w:r w:rsidR="00DB1142">
        <w:t>failure to pay rent</w:t>
      </w:r>
      <w:r w:rsidR="00C0654B">
        <w:t>, owner move-in, etc.)</w:t>
      </w:r>
      <w:r w:rsidRPr="004D51D9">
        <w:t xml:space="preserve"> but many are not specified (see Table 1 for a summary of the eviction data). Although eviction notices do not necessarily result in an eviction, </w:t>
      </w:r>
      <w:r w:rsidR="00C94752">
        <w:t xml:space="preserve">the notice </w:t>
      </w:r>
      <w:r w:rsidR="00C0654B">
        <w:t xml:space="preserve">itself and the threat of eviction </w:t>
      </w:r>
      <w:r w:rsidR="00C94752">
        <w:lastRenderedPageBreak/>
        <w:t>can be enough to cause tenants</w:t>
      </w:r>
      <w:r w:rsidRPr="004D51D9">
        <w:t xml:space="preserve"> to pre-emptively vacate their residences</w:t>
      </w:r>
      <w:r w:rsidR="00C94752">
        <w:t xml:space="preserve"> </w:t>
      </w:r>
      <w:r w:rsidR="00C94752">
        <w:fldChar w:fldCharType="begin"/>
      </w:r>
      <w:r w:rsidR="00C0654B">
        <w:instrText xml:space="preserve"> ADDIN ZOTERO_ITEM CSL_CITATION {"citationID":"OlggSqJN","properties":{"formattedCitation":"(Levin, 2020)","plainCitation":"(Levin, 2020)","noteIndex":0},"citationItems":[{"id":628,"uris":["http://zotero.org/users/3697207/items/685XJ44H"],"uri":["http://zotero.org/users/3697207/items/685XJ44H"],"itemData":{"id":628,"type":"webpage","abstract":"Despite new tenant protections, landlords are pushing out residents who can’t pay rent, making some homeless amid Covid-19","container-title":"the Guardian","language":"en","note":"section: World news","title":"Sick, elderly, pregnant: the California renters being evicted even during the pandemic","title-short":"Sick, elderly, pregnant","URL":"http://www.theguardian.com/world/2020/apr/17/sick-elderly-pregnant-the-california-renters-being-evicted-even-during-the-pandemic","author":[{"family":"Levin","given":"Sam"}],"accessed":{"date-parts":[["2021",6,29]]},"issued":{"date-parts":[["2020",4,17]]}}}],"schema":"https://github.com/citation-style-language/schema/raw/master/csl-citation.json"} </w:instrText>
      </w:r>
      <w:r w:rsidR="00C94752">
        <w:fldChar w:fldCharType="separate"/>
      </w:r>
      <w:r w:rsidR="00C0654B">
        <w:t>(Levin, 2020)</w:t>
      </w:r>
      <w:r w:rsidR="00C94752">
        <w:fldChar w:fldCharType="end"/>
      </w:r>
      <w:r w:rsidRPr="004D51D9">
        <w:t xml:space="preserve">. </w:t>
      </w:r>
      <w:r w:rsidR="00DB1142" w:rsidRPr="004D51D9">
        <w:t>In this way, eviction notice</w:t>
      </w:r>
      <w:r w:rsidR="00DB1142">
        <w:t xml:space="preserve"> rates</w:t>
      </w:r>
      <w:r w:rsidR="00DB1142" w:rsidRPr="004D51D9">
        <w:t xml:space="preserve"> </w:t>
      </w:r>
      <w:r w:rsidR="00DB1142">
        <w:t>might actually be</w:t>
      </w:r>
      <w:r w:rsidR="00DB1142" w:rsidRPr="004D51D9">
        <w:t xml:space="preserve"> a better measure of </w:t>
      </w:r>
      <w:r w:rsidR="00DB1142">
        <w:t xml:space="preserve">forced displacement </w:t>
      </w:r>
      <w:r w:rsidR="00DB1142" w:rsidRPr="004D51D9">
        <w:t>pressure than unlawful detainers or writs of restitution</w:t>
      </w:r>
      <w:r w:rsidR="00DB1142">
        <w:t>.</w:t>
      </w:r>
      <w:r w:rsidR="00C96266">
        <w:rPr>
          <w:rStyle w:val="FootnoteReference"/>
        </w:rPr>
        <w:footnoteReference w:id="6"/>
      </w:r>
      <w:r w:rsidR="00C96266">
        <w:t xml:space="preserve"> </w:t>
      </w:r>
    </w:p>
    <w:p w14:paraId="0B2791DE" w14:textId="37F84F1A" w:rsidR="00EB423F" w:rsidRPr="004D51D9" w:rsidRDefault="00EB423F" w:rsidP="00EB423F">
      <w:pPr>
        <w:ind w:firstLine="720"/>
      </w:pPr>
      <w:r w:rsidRPr="004D51D9">
        <w:t xml:space="preserve">The </w:t>
      </w:r>
      <w:r w:rsidR="00C96266">
        <w:t>dependent</w:t>
      </w:r>
      <w:r w:rsidRPr="004D51D9">
        <w:t xml:space="preserve"> variable of interest in this study is eviction notices per residential unit per year across the entire population of San Francisco </w:t>
      </w:r>
      <w:r w:rsidR="00C96266">
        <w:t>properties</w:t>
      </w:r>
      <w:r w:rsidRPr="004D51D9">
        <w:t xml:space="preserve"> with two or more residential units.</w:t>
      </w:r>
      <w:r w:rsidRPr="00F16756">
        <w:rPr>
          <w:rStyle w:val="FootnoteReference"/>
        </w:rPr>
        <w:footnoteReference w:id="7"/>
      </w:r>
      <w:r w:rsidRPr="004D51D9">
        <w:t xml:space="preserve"> The full dataset was assembled by matching eviction </w:t>
      </w:r>
      <w:r w:rsidR="00C96266">
        <w:t xml:space="preserve">notice </w:t>
      </w:r>
      <w:r w:rsidRPr="004D51D9">
        <w:t xml:space="preserve">records against annual parcel-level tax assessor records published by the City and County of San Francisco </w:t>
      </w:r>
      <w:r w:rsidR="00DB1142">
        <w:t>over the same time period as the eviction notices</w:t>
      </w:r>
      <w:r w:rsidRPr="004D51D9">
        <w:t xml:space="preserve">. After cleaning and standardizing the assessor data, </w:t>
      </w:r>
      <w:r w:rsidR="001C5D2E" w:rsidRPr="001C5D2E">
        <w:t>1</w:t>
      </w:r>
      <w:r w:rsidR="001C5D2E">
        <w:t>,</w:t>
      </w:r>
      <w:r w:rsidR="001C5D2E" w:rsidRPr="001C5D2E">
        <w:t>978</w:t>
      </w:r>
      <w:r w:rsidR="001C5D2E">
        <w:t>,</w:t>
      </w:r>
      <w:r w:rsidR="001C5D2E" w:rsidRPr="001C5D2E">
        <w:t>687</w:t>
      </w:r>
      <w:r w:rsidRPr="004D51D9">
        <w:t xml:space="preserve"> parcel records are aggregated by year and street address to arrive at a total population of </w:t>
      </w:r>
      <w:r w:rsidR="001C5D2E" w:rsidRPr="001C5D2E">
        <w:t>1</w:t>
      </w:r>
      <w:r w:rsidR="001C5D2E">
        <w:t>,</w:t>
      </w:r>
      <w:r w:rsidR="001C5D2E" w:rsidRPr="001C5D2E">
        <w:t>553</w:t>
      </w:r>
      <w:r w:rsidR="001C5D2E">
        <w:t>,</w:t>
      </w:r>
      <w:r w:rsidR="001C5D2E" w:rsidRPr="001C5D2E">
        <w:t>397</w:t>
      </w:r>
      <w:r w:rsidRPr="004D51D9">
        <w:t xml:space="preserve"> unique year/address combinations. </w:t>
      </w:r>
      <w:r w:rsidR="00C96266">
        <w:t>Unit/apartment numbers are dropped (e.g. “123 Main St #4” becomes “123 Main St”), and the total units are aggregated along with the eviction counts</w:t>
      </w:r>
      <w:r w:rsidR="00DB1142">
        <w:t>, square footage, and assessed value.</w:t>
      </w:r>
      <w:r w:rsidR="00C96266">
        <w:t xml:space="preserve"> </w:t>
      </w:r>
      <w:r w:rsidRPr="004D51D9">
        <w:t xml:space="preserve">After dropping </w:t>
      </w:r>
      <w:r w:rsidR="00C96266">
        <w:t>four</w:t>
      </w:r>
      <w:r w:rsidRPr="004D51D9">
        <w:t xml:space="preserve"> eviction records due to incomplete or malformed data, I am able to find an exact match in the assessor records for 9</w:t>
      </w:r>
      <w:r w:rsidR="00B2041B">
        <w:t>2</w:t>
      </w:r>
      <w:r w:rsidRPr="004D51D9">
        <w:t>.</w:t>
      </w:r>
      <w:r w:rsidR="00B2041B">
        <w:t>4</w:t>
      </w:r>
      <w:r w:rsidRPr="004D51D9">
        <w:t>% of the eviction notices (n=</w:t>
      </w:r>
      <w:r w:rsidR="00B2041B">
        <w:t>20,136</w:t>
      </w:r>
      <w:r w:rsidRPr="004D51D9">
        <w:t>).</w:t>
      </w:r>
    </w:p>
    <w:p w14:paraId="39AE5385" w14:textId="77777777" w:rsidR="00DB1142" w:rsidRPr="004D51D9" w:rsidRDefault="00DB1142" w:rsidP="00DB1142">
      <w:pPr>
        <w:ind w:firstLine="720"/>
      </w:pPr>
      <w:r>
        <w:t xml:space="preserve">Next, the </w:t>
      </w:r>
      <w:r w:rsidRPr="004D51D9">
        <w:t xml:space="preserve">sample is further restricted to include only those addresses that can be reasonably identified as “rent control eligible” according to their assessor designated building </w:t>
      </w:r>
      <w:r>
        <w:t>class</w:t>
      </w:r>
      <w:r w:rsidRPr="004D51D9">
        <w:t xml:space="preserve"> codes</w:t>
      </w:r>
      <w:r>
        <w:t>.</w:t>
      </w:r>
      <w:r w:rsidRPr="004D51D9">
        <w:t xml:space="preserve"> </w:t>
      </w:r>
      <w:r>
        <w:t>Table 4</w:t>
      </w:r>
      <w:r w:rsidRPr="004D51D9">
        <w:t xml:space="preserve"> </w:t>
      </w:r>
      <w:r>
        <w:t xml:space="preserve">describes </w:t>
      </w:r>
      <w:r w:rsidRPr="004D51D9">
        <w:t>these class codes</w:t>
      </w:r>
      <w:r>
        <w:t xml:space="preserve"> and their inferred rent control eligibility, but</w:t>
      </w:r>
      <w:r w:rsidRPr="004D51D9">
        <w:t xml:space="preserve"> </w:t>
      </w:r>
      <w:r>
        <w:t>i</w:t>
      </w:r>
      <w:r w:rsidRPr="004D51D9">
        <w:t xml:space="preserve">n general </w:t>
      </w:r>
      <w:r>
        <w:t>I deem any</w:t>
      </w:r>
      <w:r w:rsidRPr="004D51D9">
        <w:t xml:space="preserve"> propert</w:t>
      </w:r>
      <w:r>
        <w:t>y</w:t>
      </w:r>
      <w:r w:rsidRPr="004D51D9">
        <w:t xml:space="preserve"> with 2+ residential units</w:t>
      </w:r>
      <w:r>
        <w:t xml:space="preserve"> to be eligible</w:t>
      </w:r>
      <w:r w:rsidRPr="004D51D9">
        <w:t>. Of these</w:t>
      </w:r>
      <w:r>
        <w:t xml:space="preserve"> (n=</w:t>
      </w:r>
      <w:r w:rsidRPr="00A24FFB">
        <w:t>349</w:t>
      </w:r>
      <w:r>
        <w:t>,</w:t>
      </w:r>
      <w:r w:rsidRPr="00A24FFB">
        <w:t>607</w:t>
      </w:r>
      <w:r>
        <w:t>)</w:t>
      </w:r>
      <w:r w:rsidRPr="004D51D9">
        <w:t xml:space="preserve"> I drop an additional 5,</w:t>
      </w:r>
      <w:r>
        <w:t>094</w:t>
      </w:r>
      <w:r w:rsidRPr="004D51D9">
        <w:t xml:space="preserve"> parcel records (and their associated </w:t>
      </w:r>
      <w:r>
        <w:t>296</w:t>
      </w:r>
      <w:r w:rsidRPr="004D51D9">
        <w:t xml:space="preserve"> evictions) due to inconsistent unit counts in the assessor records (e.g. 0 units for a parcel with a multifamily class code). In the end, the sample of observations </w:t>
      </w:r>
      <w:r>
        <w:t xml:space="preserve">used for analysis </w:t>
      </w:r>
      <w:r>
        <w:lastRenderedPageBreak/>
        <w:t>is comprised of</w:t>
      </w:r>
      <w:r w:rsidRPr="004D51D9">
        <w:t xml:space="preserve"> 3</w:t>
      </w:r>
      <w:r>
        <w:t>44</w:t>
      </w:r>
      <w:r w:rsidRPr="004D51D9">
        <w:t>,</w:t>
      </w:r>
      <w:r>
        <w:t>513</w:t>
      </w:r>
      <w:r w:rsidRPr="004D51D9">
        <w:t xml:space="preserve"> annual address</w:t>
      </w:r>
      <w:r>
        <w:t xml:space="preserve"> records, which in total account for</w:t>
      </w:r>
      <w:r w:rsidRPr="004D51D9">
        <w:t xml:space="preserve"> </w:t>
      </w:r>
      <w:r>
        <w:t>13</w:t>
      </w:r>
      <w:r w:rsidRPr="004D51D9">
        <w:t>,</w:t>
      </w:r>
      <w:r>
        <w:t>963</w:t>
      </w:r>
      <w:r w:rsidRPr="004D51D9">
        <w:t xml:space="preserve"> eviction notices. Table </w:t>
      </w:r>
      <w:r>
        <w:t>2</w:t>
      </w:r>
      <w:r w:rsidRPr="004D51D9">
        <w:t xml:space="preserve"> </w:t>
      </w:r>
      <w:r>
        <w:t xml:space="preserve">provides </w:t>
      </w:r>
      <w:r w:rsidRPr="004D51D9">
        <w:t>descriptive statistics of this dataset.</w:t>
      </w:r>
    </w:p>
    <w:p w14:paraId="700B5B28" w14:textId="77777777" w:rsidR="00DB1142" w:rsidRPr="004D51D9" w:rsidRDefault="00DB1142" w:rsidP="00DB1142">
      <w:pPr>
        <w:ind w:firstLine="720"/>
      </w:pPr>
      <w:r>
        <w:t>After restricting the sample to properties with rent control eligible use codes, rent control status can be inferred solely by the year in which a property was built.</w:t>
      </w:r>
      <w:r w:rsidRPr="004D51D9">
        <w:t xml:space="preserve"> </w:t>
      </w:r>
      <w:r>
        <w:t>Given</w:t>
      </w:r>
      <w:r w:rsidRPr="004D51D9">
        <w:t xml:space="preserve"> that the </w:t>
      </w:r>
      <w:r>
        <w:t>Rent Ordinance</w:t>
      </w:r>
      <w:r w:rsidRPr="004D51D9">
        <w:t xml:space="preserve"> </w:t>
      </w:r>
      <w:r>
        <w:t>was passed</w:t>
      </w:r>
      <w:r w:rsidRPr="004D51D9">
        <w:t xml:space="preserve"> </w:t>
      </w:r>
      <w:r>
        <w:t>o</w:t>
      </w:r>
      <w:r w:rsidRPr="004D51D9">
        <w:t xml:space="preserve">n </w:t>
      </w:r>
      <w:r>
        <w:t xml:space="preserve">June 16, </w:t>
      </w:r>
      <w:r w:rsidRPr="004D51D9">
        <w:t>19</w:t>
      </w:r>
      <w:r>
        <w:t>79</w:t>
      </w:r>
      <w:r w:rsidRPr="004D51D9">
        <w:t xml:space="preserve"> and </w:t>
      </w:r>
      <w:r>
        <w:t xml:space="preserve">that it </w:t>
      </w:r>
      <w:r w:rsidRPr="004D51D9">
        <w:t xml:space="preserve">applied only to structures in existence at that time, rent control eligibility was (and continues to be) extended only to properties built </w:t>
      </w:r>
      <w:r>
        <w:t>on or before that date</w:t>
      </w:r>
      <w:r w:rsidRPr="004D51D9">
        <w:t>.</w:t>
      </w:r>
      <w:r>
        <w:rPr>
          <w:rStyle w:val="FootnoteReference"/>
        </w:rPr>
        <w:footnoteReference w:id="8"/>
      </w:r>
      <w:r w:rsidRPr="004D51D9">
        <w:t xml:space="preserve"> </w:t>
      </w:r>
      <w:r>
        <w:t>In the following analysis, t</w:t>
      </w:r>
      <w:r w:rsidRPr="004D51D9">
        <w:t xml:space="preserve">his arbitrary but well-known delineation between “treated” (i.e. rent controlled) and “control” (i.e. market rate) groups of properties forms the basis for a pseudo-natural experiment in which a treatment effect (i.e. change in eviction rates) can be estimated and causality can be inferred. </w:t>
      </w:r>
    </w:p>
    <w:p w14:paraId="43A5EEE2" w14:textId="77777777" w:rsidR="00EB423F" w:rsidRPr="004D51D9" w:rsidRDefault="00EB423F" w:rsidP="00EB423F">
      <w:pPr>
        <w:pStyle w:val="Heading2"/>
        <w:rPr>
          <w:rFonts w:cs="Times New Roman"/>
        </w:rPr>
      </w:pPr>
      <w:r w:rsidRPr="004D51D9">
        <w:rPr>
          <w:rFonts w:cs="Times New Roman"/>
        </w:rPr>
        <w:t>Methodology</w:t>
      </w:r>
    </w:p>
    <w:p w14:paraId="560001B8" w14:textId="77777777" w:rsidR="00DB1142" w:rsidRDefault="00C0654B" w:rsidP="00EB423F">
      <w:pPr>
        <w:pStyle w:val="Paragraph"/>
      </w:pPr>
      <w:r>
        <w:t>To estimate the treatment effect of rent control, I</w:t>
      </w:r>
      <w:r w:rsidRPr="004D51D9">
        <w:t xml:space="preserve"> use a regression discontinuity (RD) design</w:t>
      </w:r>
      <w:r>
        <w:t xml:space="preserve">, exploiting the 1979 built-year cut-off eligibility requirement </w:t>
      </w:r>
      <w:r w:rsidR="00C96266">
        <w:t>described above</w:t>
      </w:r>
      <w:r>
        <w:t>. Th</w:t>
      </w:r>
      <w:r w:rsidR="00C96266">
        <w:t>e RD</w:t>
      </w:r>
      <w:r>
        <w:t xml:space="preserve"> design has the dual benefit </w:t>
      </w:r>
      <w:r w:rsidRPr="004D51D9">
        <w:t xml:space="preserve">of directly estimating the treatment effect of rent control on eviction rates, </w:t>
      </w:r>
      <w:r>
        <w:t>and</w:t>
      </w:r>
      <w:r w:rsidRPr="004D51D9">
        <w:t xml:space="preserve"> also making the identification of that treatment extremely transparent and easily understood</w:t>
      </w:r>
      <w:r>
        <w:t>.</w:t>
      </w:r>
      <w:r w:rsidR="00EB423F" w:rsidRPr="004D51D9">
        <w:t xml:space="preserve"> The use of RD dates back to 1960 </w:t>
      </w:r>
      <w:r w:rsidR="00EB423F" w:rsidRPr="004D51D9">
        <w:rPr>
          <w:rFonts w:eastAsia="Arial"/>
          <w:sz w:val="22"/>
          <w:szCs w:val="22"/>
        </w:rPr>
        <w:fldChar w:fldCharType="begin"/>
      </w:r>
      <w:r w:rsidR="00EB423F" w:rsidRPr="004D51D9">
        <w:instrText xml:space="preserve"> ADDIN ZOTERO_ITEM CSL_CITATION {"citationID":"eBLGvfFN","properties":{"formattedCitation":"(Thistlethwaite &amp; Campbell, 1960)","plainCitation":"(Thistlethwaite &amp; Campbell, 1960)","noteIndex":0},"citationItems":[{"id":597,"uris":["http://zotero.org/users/3697207/items/GJBCV48J"],"uri":["http://zotero.org/users/3697207/items/GJBCV48J"],"itemData":{"id":597,"type":"article-journal","container-title":"Journal of Educational psychology","issue":"6","note":"publisher: American Psychological Association","page":"309","source":"Google Scholar","title":"Regression-discontinuity analysis: An alternative to the ex post facto experiment.","title-short":"Regression-discontinuity analysis","volume":"51","author":[{"family":"Thistlethwaite","given":"Donald L."},{"family":"Campbell","given":"Donald T."}],"issued":{"date-parts":[["1960"]]}}}],"schema":"https://github.com/citation-style-language/schema/raw/master/csl-citation.json"} </w:instrText>
      </w:r>
      <w:r w:rsidR="00EB423F" w:rsidRPr="004D51D9">
        <w:rPr>
          <w:rFonts w:eastAsia="Arial"/>
          <w:sz w:val="22"/>
          <w:szCs w:val="22"/>
        </w:rPr>
        <w:fldChar w:fldCharType="separate"/>
      </w:r>
      <w:r w:rsidR="00EB423F" w:rsidRPr="004D51D9">
        <w:t>(Thistlethwaite &amp; Campbell, 1960)</w:t>
      </w:r>
      <w:r w:rsidR="00EB423F" w:rsidRPr="004D51D9">
        <w:fldChar w:fldCharType="end"/>
      </w:r>
      <w:r w:rsidR="00EB423F" w:rsidRPr="004D51D9">
        <w:t xml:space="preserve">, but its popularity as a causal inference method has gained significantly since the 1990s. Numerous studies comparing the statistical power of the </w:t>
      </w:r>
      <w:r w:rsidR="00EB423F" w:rsidRPr="004D51D9">
        <w:lastRenderedPageBreak/>
        <w:t>RD against randomized controlled trial (RCT) experimental designs have served to bolster its reputation as an effective substitute in cases where true RCT designs are infeasible, as is often the case in policy analysis. A 2018 meta-analysis of 15 “within-study comparisons”, each of which compared causal estimates obtained from both RD and RCT analysis conducted within the same study, found that the bias of the RD estimates was distributed tightly and symmetrically around zero (within 0.07 standard deviations of the RCT values in a given study on average), concluding that RD is “</w:t>
      </w:r>
      <w:r w:rsidR="00EB423F" w:rsidRPr="004D51D9">
        <w:rPr>
          <w:i/>
        </w:rPr>
        <w:t>robustly internally valid in research practice</w:t>
      </w:r>
      <w:r w:rsidR="00EB423F" w:rsidRPr="004D51D9">
        <w:t xml:space="preserve">” </w:t>
      </w:r>
      <w:r w:rsidR="00EB423F" w:rsidRPr="004D51D9">
        <w:rPr>
          <w:rFonts w:eastAsia="Arial"/>
          <w:sz w:val="22"/>
          <w:szCs w:val="22"/>
        </w:rPr>
        <w:fldChar w:fldCharType="begin"/>
      </w:r>
      <w:r w:rsidR="00EB423F" w:rsidRPr="004D51D9">
        <w:instrText xml:space="preserve"> ADDIN ZOTERO_ITEM CSL_CITATION {"citationID":"uBxtgw30","properties":{"formattedCitation":"(Chaplin et al., 2018)","plainCitation":"(Chaplin et al., 2018)","noteIndex":0},"citationItems":[{"id":607,"uris":["http://zotero.org/users/3697207/items/ZQRBGHPN"],"uri":["http://zotero.org/users/3697207/items/ZQRBGHPN"],"itemData":{"id":607,"type":"article-journal","container-title":"Journal of Policy Analysis and Management","issue":"2","note":"publisher: Wiley Online Library","page":"403–429","source":"Google Scholar","title":"The internal and external validity of the regression discontinuity design: A meta-analysis of 15 within-study comparisons","title-short":"The internal and external validity of the regression discontinuity design","volume":"37","author":[{"family":"Chaplin","given":"Duncan D."},{"family":"Cook","given":"Thomas D."},{"family":"Zurovac","given":"Jelena"},{"family":"Coopersmith","given":"Jared S."},{"family":"Finucane","given":"Mariel M."},{"family":"Vollmer","given":"Lauren N."},{"family":"Morris","given":"Rebecca E."}],"issued":{"date-parts":[["2018"]]}}}],"schema":"https://github.com/citation-style-language/schema/raw/master/csl-citation.json"} </w:instrText>
      </w:r>
      <w:r w:rsidR="00EB423F" w:rsidRPr="004D51D9">
        <w:rPr>
          <w:rFonts w:eastAsia="Arial"/>
          <w:sz w:val="22"/>
          <w:szCs w:val="22"/>
        </w:rPr>
        <w:fldChar w:fldCharType="separate"/>
      </w:r>
      <w:r w:rsidR="00EB423F" w:rsidRPr="004D51D9">
        <w:t>(Chaplin et al., 2018)</w:t>
      </w:r>
      <w:r w:rsidR="00EB423F" w:rsidRPr="004D51D9">
        <w:fldChar w:fldCharType="end"/>
      </w:r>
      <w:r w:rsidR="00EB423F" w:rsidRPr="004D51D9">
        <w:t>. RD also benefits from an extremely transparent identification mechanism relative to other selection</w:t>
      </w:r>
      <w:r w:rsidR="00C96266">
        <w:t>-</w:t>
      </w:r>
      <w:r w:rsidR="00EB423F" w:rsidRPr="004D51D9">
        <w:t>on</w:t>
      </w:r>
      <w:r w:rsidR="00C96266">
        <w:t>-</w:t>
      </w:r>
      <w:proofErr w:type="spellStart"/>
      <w:r w:rsidR="00EB423F" w:rsidRPr="004D51D9">
        <w:t>unobservables</w:t>
      </w:r>
      <w:proofErr w:type="spellEnd"/>
      <w:r w:rsidR="00EB423F" w:rsidRPr="004D51D9">
        <w:t xml:space="preserve"> designs like IV. Standard methods of graphical analysis make interpretation of both the design and its results easily understood by a wide variety of audiences </w:t>
      </w:r>
      <w:r w:rsidR="00EB423F" w:rsidRPr="004D51D9">
        <w:rPr>
          <w:rFonts w:eastAsia="Arial"/>
          <w:sz w:val="22"/>
          <w:szCs w:val="22"/>
        </w:rPr>
        <w:fldChar w:fldCharType="begin"/>
      </w:r>
      <w:r w:rsidR="00EB423F" w:rsidRPr="004D51D9">
        <w:instrText xml:space="preserve"> ADDIN ZOTERO_ITEM CSL_CITATION {"citationID":"LJt609P0","properties":{"formattedCitation":"(Imbens &amp; Lemieux, 2008)","plainCitation":"(Imbens &amp; Lemieux, 2008)","noteIndex":0},"citationItems":[{"id":600,"uris":["http://zotero.org/users/3697207/items/ILZ2JRGM"],"uri":["http://zotero.org/users/3697207/items/ILZ2JRGM"],"itemData":{"id":600,"type":"article-journal","container-title":"Journal of econometrics","issue":"2","note":"publisher: Elsevier","page":"615–635","source":"Google Scholar","title":"Regression discontinuity designs: A guide to practice","title-short":"Regression discontinuity designs","volume":"142","author":[{"family":"Imbens","given":"Guido W."},{"family":"Lemieux","given":"Thomas"}],"issued":{"date-parts":[["2008"]]}}}],"schema":"https://github.com/citation-style-language/schema/raw/master/csl-citation.json"} </w:instrText>
      </w:r>
      <w:r w:rsidR="00EB423F" w:rsidRPr="004D51D9">
        <w:rPr>
          <w:rFonts w:eastAsia="Arial"/>
          <w:sz w:val="22"/>
          <w:szCs w:val="22"/>
        </w:rPr>
        <w:fldChar w:fldCharType="separate"/>
      </w:r>
      <w:r w:rsidR="00EB423F" w:rsidRPr="004D51D9">
        <w:t>(Imbens &amp; Lemieux, 2008)</w:t>
      </w:r>
      <w:r w:rsidR="00EB423F" w:rsidRPr="004D51D9">
        <w:fldChar w:fldCharType="end"/>
      </w:r>
      <w:r w:rsidR="00EB423F" w:rsidRPr="004D51D9">
        <w:t xml:space="preserve">. </w:t>
      </w:r>
    </w:p>
    <w:p w14:paraId="28C90918" w14:textId="77777777" w:rsidR="00DB1142" w:rsidRDefault="00DB1142" w:rsidP="00DB1142">
      <w:pPr>
        <w:pStyle w:val="Paragraph"/>
        <w:ind w:firstLine="720"/>
      </w:pPr>
      <w:r>
        <w:t>The</w:t>
      </w:r>
      <w:r w:rsidRPr="004D51D9">
        <w:t xml:space="preserve"> most significant shortcoming </w:t>
      </w:r>
      <w:r>
        <w:t xml:space="preserve">of RD relative to other causal inference methods </w:t>
      </w:r>
      <w:r w:rsidRPr="004D51D9">
        <w:t>is perhaps the limited set of circumstances in which the design is appropriate.</w:t>
      </w:r>
      <w:r>
        <w:t xml:space="preserve"> </w:t>
      </w:r>
      <w:r w:rsidRPr="004D51D9">
        <w:t xml:space="preserve">In particular, RD requires a treatment assignment mechanism that depends </w:t>
      </w:r>
      <w:r>
        <w:t xml:space="preserve">either </w:t>
      </w:r>
      <w:r w:rsidRPr="004D51D9">
        <w:t xml:space="preserve">wholly or </w:t>
      </w:r>
      <w:r>
        <w:t>partially</w:t>
      </w:r>
      <w:r w:rsidRPr="004D51D9">
        <w:t xml:space="preserve"> </w:t>
      </w:r>
      <w:r>
        <w:t>on</w:t>
      </w:r>
      <w:r w:rsidRPr="004D51D9">
        <w:t xml:space="preserve"> a characteristic threshold value that a participant either exceeds or does not. </w:t>
      </w:r>
      <w:r>
        <w:t xml:space="preserve">If </w:t>
      </w:r>
      <w:r w:rsidRPr="004D51D9">
        <w:t xml:space="preserve">treatment </w:t>
      </w:r>
      <w:r w:rsidRPr="004D51D9">
        <w:rPr>
          <w:i/>
          <w:iCs/>
        </w:rPr>
        <w:t>R</w:t>
      </w:r>
      <w:r w:rsidRPr="004D51D9">
        <w:rPr>
          <w:i/>
          <w:iCs/>
          <w:vertAlign w:val="subscript"/>
        </w:rPr>
        <w:t>i</w:t>
      </w:r>
      <w:r w:rsidRPr="004D51D9">
        <w:t xml:space="preserve"> can be predicted based on whether a variable </w:t>
      </w:r>
      <w:r w:rsidRPr="004D51D9">
        <w:rPr>
          <w:i/>
          <w:iCs/>
        </w:rPr>
        <w:t>Y</w:t>
      </w:r>
      <w:r w:rsidRPr="004D51D9">
        <w:rPr>
          <w:i/>
          <w:iCs/>
          <w:vertAlign w:val="subscript"/>
        </w:rPr>
        <w:t>i</w:t>
      </w:r>
      <w:r w:rsidRPr="004D51D9">
        <w:t xml:space="preserve"> lies above or below a threshold value </w:t>
      </w:r>
      <w:r w:rsidRPr="004D51D9">
        <w:rPr>
          <w:i/>
          <w:iCs/>
        </w:rPr>
        <w:t>c</w:t>
      </w:r>
      <w:r w:rsidRPr="004D51D9">
        <w:t>, the</w:t>
      </w:r>
      <w:r>
        <w:t>n the</w:t>
      </w:r>
      <w:r w:rsidRPr="004D51D9">
        <w:t xml:space="preserve"> effect of </w:t>
      </w:r>
      <w:r w:rsidRPr="004D51D9">
        <w:rPr>
          <w:i/>
          <w:iCs/>
        </w:rPr>
        <w:t>R</w:t>
      </w:r>
      <w:r w:rsidRPr="004D51D9">
        <w:rPr>
          <w:i/>
          <w:iCs/>
          <w:vertAlign w:val="subscript"/>
        </w:rPr>
        <w:t>i</w:t>
      </w:r>
      <w:r w:rsidRPr="004D51D9">
        <w:t xml:space="preserve"> on the outcome </w:t>
      </w:r>
      <w:proofErr w:type="spellStart"/>
      <w:r w:rsidRPr="004D51D9">
        <w:rPr>
          <w:i/>
          <w:iCs/>
        </w:rPr>
        <w:t>E</w:t>
      </w:r>
      <w:r w:rsidRPr="004D51D9">
        <w:rPr>
          <w:i/>
          <w:iCs/>
          <w:vertAlign w:val="subscript"/>
        </w:rPr>
        <w:t>i</w:t>
      </w:r>
      <w:proofErr w:type="spellEnd"/>
      <w:r w:rsidRPr="004D51D9">
        <w:t xml:space="preserve"> can be identified</w:t>
      </w:r>
      <w:r>
        <w:t xml:space="preserve"> given that </w:t>
      </w:r>
      <w:r w:rsidRPr="004D51D9">
        <w:t xml:space="preserve">the relationship between </w:t>
      </w:r>
      <w:r w:rsidRPr="004D51D9">
        <w:rPr>
          <w:i/>
          <w:iCs/>
        </w:rPr>
        <w:t>Y</w:t>
      </w:r>
      <w:r w:rsidRPr="004D51D9">
        <w:rPr>
          <w:i/>
          <w:iCs/>
          <w:vertAlign w:val="subscript"/>
        </w:rPr>
        <w:t>i</w:t>
      </w:r>
      <w:r w:rsidRPr="004D51D9">
        <w:t xml:space="preserve"> and </w:t>
      </w:r>
      <w:proofErr w:type="spellStart"/>
      <w:r w:rsidRPr="004D51D9">
        <w:rPr>
          <w:i/>
          <w:iCs/>
        </w:rPr>
        <w:t>E</w:t>
      </w:r>
      <w:r w:rsidRPr="004D51D9">
        <w:rPr>
          <w:i/>
          <w:iCs/>
          <w:vertAlign w:val="subscript"/>
        </w:rPr>
        <w:t>i</w:t>
      </w:r>
      <w:proofErr w:type="spellEnd"/>
      <w:r w:rsidRPr="004D51D9">
        <w:t xml:space="preserve"> is smooth and continuous for values of </w:t>
      </w:r>
      <w:r w:rsidRPr="004D51D9">
        <w:rPr>
          <w:i/>
          <w:iCs/>
        </w:rPr>
        <w:t>Y</w:t>
      </w:r>
      <w:r w:rsidRPr="004D51D9">
        <w:rPr>
          <w:i/>
          <w:iCs/>
          <w:vertAlign w:val="subscript"/>
        </w:rPr>
        <w:t>i</w:t>
      </w:r>
      <w:r w:rsidRPr="004D51D9">
        <w:t xml:space="preserve"> above and below </w:t>
      </w:r>
      <w:r w:rsidRPr="004D51D9">
        <w:rPr>
          <w:i/>
          <w:iCs/>
        </w:rPr>
        <w:t>c</w:t>
      </w:r>
      <w:r w:rsidRPr="004D51D9">
        <w:t xml:space="preserve">. </w:t>
      </w:r>
      <w:r>
        <w:t>The premise of RD is that i</w:t>
      </w:r>
      <w:r w:rsidRPr="004D51D9">
        <w:t xml:space="preserve">f this latter assumption holds, then the causal effect of </w:t>
      </w:r>
      <w:r w:rsidRPr="004D51D9">
        <w:rPr>
          <w:i/>
          <w:iCs/>
        </w:rPr>
        <w:t>R</w:t>
      </w:r>
      <w:r w:rsidRPr="004D51D9">
        <w:rPr>
          <w:i/>
          <w:iCs/>
          <w:vertAlign w:val="subscript"/>
        </w:rPr>
        <w:t>i</w:t>
      </w:r>
      <w:r w:rsidRPr="004D51D9">
        <w:t xml:space="preserve"> on </w:t>
      </w:r>
      <w:proofErr w:type="spellStart"/>
      <w:r w:rsidRPr="004D51D9">
        <w:rPr>
          <w:i/>
          <w:iCs/>
        </w:rPr>
        <w:t>E</w:t>
      </w:r>
      <w:r w:rsidRPr="004D51D9">
        <w:rPr>
          <w:i/>
          <w:iCs/>
          <w:vertAlign w:val="subscript"/>
        </w:rPr>
        <w:t>i</w:t>
      </w:r>
      <w:proofErr w:type="spellEnd"/>
      <w:r w:rsidRPr="004D51D9">
        <w:t xml:space="preserve"> can be estimated by measuring the size of the “jump” or discontinuity in </w:t>
      </w:r>
      <w:proofErr w:type="spellStart"/>
      <w:r w:rsidRPr="004D51D9">
        <w:rPr>
          <w:i/>
          <w:iCs/>
        </w:rPr>
        <w:t>E</w:t>
      </w:r>
      <w:r w:rsidRPr="004D51D9">
        <w:rPr>
          <w:i/>
          <w:iCs/>
          <w:vertAlign w:val="subscript"/>
        </w:rPr>
        <w:t>i</w:t>
      </w:r>
      <w:proofErr w:type="spellEnd"/>
      <w:r w:rsidRPr="004D51D9">
        <w:t xml:space="preserve"> at </w:t>
      </w:r>
      <w:r w:rsidRPr="004D51D9">
        <w:rPr>
          <w:i/>
          <w:iCs/>
        </w:rPr>
        <w:t>Y</w:t>
      </w:r>
      <w:r w:rsidRPr="004D51D9">
        <w:rPr>
          <w:i/>
          <w:iCs/>
          <w:vertAlign w:val="subscript"/>
        </w:rPr>
        <w:t>i</w:t>
      </w:r>
      <w:r w:rsidRPr="004D51D9">
        <w:rPr>
          <w:i/>
          <w:iCs/>
        </w:rPr>
        <w:t xml:space="preserve"> – c</w:t>
      </w:r>
      <w:r w:rsidRPr="004D51D9">
        <w:t>.</w:t>
      </w:r>
    </w:p>
    <w:p w14:paraId="176BA997" w14:textId="6D9C85E1" w:rsidR="003B3C2E" w:rsidRPr="004D51D9" w:rsidRDefault="00EB423F" w:rsidP="00655A63">
      <w:pPr>
        <w:pStyle w:val="Newparagraph"/>
      </w:pPr>
      <w:r w:rsidRPr="004D51D9">
        <w:t xml:space="preserve"> In this study I implement the “sharp” RD design </w:t>
      </w:r>
      <w:r w:rsidRPr="004D51D9">
        <w:rPr>
          <w:rFonts w:eastAsia="Arial"/>
        </w:rPr>
        <w:fldChar w:fldCharType="begin"/>
      </w:r>
      <w:r w:rsidRPr="004D51D9">
        <w:instrText xml:space="preserve"> ADDIN ZOTERO_ITEM CSL_CITATION {"citationID":"oot0aYgk","properties":{"formattedCitation":"(Imbens &amp; Lemieux, 2008)","plainCitation":"(Imbens &amp; Lemieux, 2008)","noteIndex":0},"citationItems":[{"id":600,"uris":["http://zotero.org/users/3697207/items/ILZ2JRGM"],"uri":["http://zotero.org/users/3697207/items/ILZ2JRGM"],"itemData":{"id":600,"type":"article-journal","container-title":"Journal of econometrics","issue":"2","note":"publisher: Elsevier","page":"615–635","source":"Google Scholar","title":"Regression discontinuity designs: A guide to practice","title-short":"Regression discontinuity designs","volume":"142","author":[{"family":"Imbens","given":"Guido W."},{"family":"Lemieux","given":"Thomas"}],"issued":{"date-parts":[["2008"]]}}}],"schema":"https://github.com/citation-style-language/schema/raw/master/csl-citation.json"} </w:instrText>
      </w:r>
      <w:r w:rsidRPr="004D51D9">
        <w:rPr>
          <w:rFonts w:eastAsia="Arial"/>
        </w:rPr>
        <w:fldChar w:fldCharType="separate"/>
      </w:r>
      <w:r w:rsidRPr="004D51D9">
        <w:t>(Imbens &amp; Lemieux, 2008)</w:t>
      </w:r>
      <w:r w:rsidRPr="004D51D9">
        <w:fldChar w:fldCharType="end"/>
      </w:r>
      <w:r w:rsidRPr="004D51D9">
        <w:t>, where treatment assignment is completely deterministic based on the threshold. The basic functional form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4140"/>
        <w:gridCol w:w="2307"/>
      </w:tblGrid>
      <w:tr w:rsidR="003B3C2E" w:rsidRPr="004D51D9" w14:paraId="29040B42" w14:textId="77777777" w:rsidTr="00C96266">
        <w:trPr>
          <w:trHeight w:val="669"/>
        </w:trPr>
        <w:tc>
          <w:tcPr>
            <w:tcW w:w="2268" w:type="dxa"/>
          </w:tcPr>
          <w:p w14:paraId="1855D44F" w14:textId="77777777" w:rsidR="003B3C2E" w:rsidRPr="004D51D9" w:rsidRDefault="003B3C2E" w:rsidP="003B3C2E">
            <w:pPr>
              <w:pStyle w:val="Newparagraph"/>
              <w:ind w:firstLine="0"/>
            </w:pPr>
          </w:p>
        </w:tc>
        <w:tc>
          <w:tcPr>
            <w:tcW w:w="4140" w:type="dxa"/>
          </w:tcPr>
          <w:p w14:paraId="5283F82B" w14:textId="77777777" w:rsidR="003B3C2E" w:rsidRDefault="003B3C2E" w:rsidP="00C96266">
            <w:pPr>
              <w:pStyle w:val="Displayedequation"/>
              <w:spacing w:line="240" w:lineRule="auto"/>
              <w:rPr>
                <w:i/>
                <w:iCs/>
                <w:vertAlign w:val="subscript"/>
              </w:rPr>
            </w:pPr>
            <w:proofErr w:type="spellStart"/>
            <w:r w:rsidRPr="004D51D9">
              <w:rPr>
                <w:i/>
                <w:iCs/>
              </w:rPr>
              <w:t>E</w:t>
            </w:r>
            <w:r w:rsidRPr="004D51D9">
              <w:rPr>
                <w:i/>
                <w:iCs/>
                <w:vertAlign w:val="subscript"/>
              </w:rPr>
              <w:t>i</w:t>
            </w:r>
            <w:proofErr w:type="spellEnd"/>
            <w:r w:rsidRPr="004D51D9">
              <w:rPr>
                <w:i/>
                <w:iCs/>
                <w:vertAlign w:val="subscript"/>
              </w:rPr>
              <w:t xml:space="preserve"> </w:t>
            </w:r>
            <w:r w:rsidRPr="004D51D9">
              <w:rPr>
                <w:i/>
                <w:iCs/>
              </w:rPr>
              <w:t>= α + βR</w:t>
            </w:r>
            <w:r w:rsidRPr="004D51D9">
              <w:rPr>
                <w:i/>
                <w:iCs/>
                <w:vertAlign w:val="subscript"/>
              </w:rPr>
              <w:t xml:space="preserve">i </w:t>
            </w:r>
            <w:r w:rsidRPr="004D51D9">
              <w:rPr>
                <w:i/>
                <w:iCs/>
              </w:rPr>
              <w:t>+ γ(Y</w:t>
            </w:r>
            <w:r w:rsidRPr="004D51D9">
              <w:rPr>
                <w:i/>
                <w:iCs/>
                <w:vertAlign w:val="subscript"/>
              </w:rPr>
              <w:t>i</w:t>
            </w:r>
            <w:r w:rsidRPr="004D51D9">
              <w:rPr>
                <w:i/>
                <w:iCs/>
              </w:rPr>
              <w:t xml:space="preserve"> – c)+ λ(Y</w:t>
            </w:r>
            <w:r w:rsidRPr="004D51D9">
              <w:rPr>
                <w:i/>
                <w:iCs/>
                <w:vertAlign w:val="subscript"/>
              </w:rPr>
              <w:t>i</w:t>
            </w:r>
            <w:r w:rsidRPr="004D51D9">
              <w:rPr>
                <w:i/>
                <w:iCs/>
              </w:rPr>
              <w:t xml:space="preserve"> – c) ∙ R</w:t>
            </w:r>
            <w:r w:rsidRPr="004D51D9">
              <w:rPr>
                <w:i/>
                <w:iCs/>
                <w:vertAlign w:val="subscript"/>
              </w:rPr>
              <w:t>i</w:t>
            </w:r>
          </w:p>
          <w:p w14:paraId="2FBE94FF" w14:textId="5EFC2C51" w:rsidR="00C96266" w:rsidRPr="00C96266" w:rsidRDefault="00C96266" w:rsidP="00C96266">
            <w:pPr>
              <w:pStyle w:val="Paragraph"/>
              <w:spacing w:line="240" w:lineRule="auto"/>
            </w:pPr>
            <w:r>
              <w:t xml:space="preserve">given </w:t>
            </w:r>
            <w:r w:rsidRPr="004D51D9">
              <w:rPr>
                <w:i/>
                <w:iCs/>
              </w:rPr>
              <w:t>R</w:t>
            </w:r>
            <w:r w:rsidRPr="004D51D9">
              <w:rPr>
                <w:i/>
                <w:iCs/>
                <w:vertAlign w:val="subscript"/>
              </w:rPr>
              <w:t>i</w:t>
            </w:r>
            <w:r w:rsidRPr="004D51D9">
              <w:t xml:space="preserve"> = </w:t>
            </w:r>
            <w:r w:rsidRPr="004D51D9">
              <w:rPr>
                <w:b/>
                <w:bCs/>
              </w:rPr>
              <w:t>1</w:t>
            </w:r>
            <w:r w:rsidRPr="004D51D9">
              <w:t>{</w:t>
            </w:r>
            <w:r w:rsidRPr="004D51D9">
              <w:rPr>
                <w:i/>
                <w:iCs/>
              </w:rPr>
              <w:t>Y</w:t>
            </w:r>
            <w:r w:rsidRPr="004D51D9">
              <w:rPr>
                <w:i/>
                <w:iCs/>
                <w:vertAlign w:val="subscript"/>
              </w:rPr>
              <w:t>i</w:t>
            </w:r>
            <w:r w:rsidRPr="004D51D9">
              <w:t xml:space="preserve">  &lt;  </w:t>
            </w:r>
            <w:r w:rsidRPr="004D51D9">
              <w:rPr>
                <w:i/>
                <w:iCs/>
              </w:rPr>
              <w:t>c</w:t>
            </w:r>
            <w:r w:rsidRPr="004D51D9">
              <w:t>}</w:t>
            </w:r>
            <w:r>
              <w:t>,</w:t>
            </w:r>
            <w:r w:rsidRPr="004D51D9">
              <w:t xml:space="preserve"> </w:t>
            </w:r>
            <w:r w:rsidRPr="004D51D9">
              <w:rPr>
                <w:i/>
                <w:iCs/>
              </w:rPr>
              <w:t>c</w:t>
            </w:r>
            <w:r w:rsidRPr="004D51D9">
              <w:t xml:space="preserve"> – </w:t>
            </w:r>
            <w:r w:rsidRPr="004D51D9">
              <w:rPr>
                <w:i/>
                <w:iCs/>
              </w:rPr>
              <w:t>h</w:t>
            </w:r>
            <w:r w:rsidRPr="004D51D9">
              <w:t xml:space="preserve"> &lt; </w:t>
            </w:r>
            <w:r w:rsidRPr="004D51D9">
              <w:rPr>
                <w:i/>
                <w:iCs/>
              </w:rPr>
              <w:t>Y</w:t>
            </w:r>
            <w:r w:rsidRPr="004D51D9">
              <w:rPr>
                <w:i/>
                <w:iCs/>
                <w:vertAlign w:val="subscript"/>
              </w:rPr>
              <w:t>i</w:t>
            </w:r>
            <w:r w:rsidRPr="004D51D9">
              <w:t xml:space="preserve"> &lt; </w:t>
            </w:r>
            <w:r w:rsidRPr="004D51D9">
              <w:rPr>
                <w:i/>
                <w:iCs/>
              </w:rPr>
              <w:t>c</w:t>
            </w:r>
            <w:r w:rsidRPr="004D51D9">
              <w:t xml:space="preserve"> + </w:t>
            </w:r>
            <w:r w:rsidRPr="004D51D9">
              <w:rPr>
                <w:i/>
                <w:iCs/>
              </w:rPr>
              <w:t>h</w:t>
            </w:r>
          </w:p>
        </w:tc>
        <w:tc>
          <w:tcPr>
            <w:tcW w:w="2307" w:type="dxa"/>
            <w:vAlign w:val="center"/>
          </w:tcPr>
          <w:p w14:paraId="3D66BA40" w14:textId="77777777" w:rsidR="003B3C2E" w:rsidRPr="004D51D9" w:rsidRDefault="003B3C2E" w:rsidP="00C96266">
            <w:pPr>
              <w:pStyle w:val="Displayedequation"/>
              <w:spacing w:line="240" w:lineRule="auto"/>
            </w:pPr>
            <w:r w:rsidRPr="004D51D9">
              <w:t>(1)</w:t>
            </w:r>
          </w:p>
        </w:tc>
      </w:tr>
    </w:tbl>
    <w:p w14:paraId="4C69D0C4" w14:textId="77777777" w:rsidR="00C96266" w:rsidRDefault="00C96266" w:rsidP="004E3776">
      <w:pPr>
        <w:pStyle w:val="Newparagraph"/>
        <w:ind w:firstLine="0"/>
      </w:pPr>
    </w:p>
    <w:p w14:paraId="1B30ACEF" w14:textId="5B5ECC06" w:rsidR="00EB423F" w:rsidRPr="004D51D9" w:rsidRDefault="00EB423F" w:rsidP="004E3776">
      <w:pPr>
        <w:pStyle w:val="Newparagraph"/>
        <w:ind w:firstLine="0"/>
      </w:pPr>
      <w:r w:rsidRPr="004D51D9">
        <w:t>where the dependent variable</w:t>
      </w:r>
      <w:r w:rsidR="004E3776" w:rsidRPr="004D51D9">
        <w:t xml:space="preserve"> </w:t>
      </w:r>
      <w:r w:rsidR="004E3776" w:rsidRPr="004D51D9">
        <w:rPr>
          <w:i/>
          <w:iCs/>
        </w:rPr>
        <w:t>E</w:t>
      </w:r>
      <w:r w:rsidRPr="004D51D9">
        <w:t xml:space="preserve"> is the annual evictions per unit </w:t>
      </w:r>
      <w:r w:rsidR="00C96266">
        <w:t xml:space="preserve">for property </w:t>
      </w:r>
      <w:proofErr w:type="spellStart"/>
      <w:r w:rsidRPr="004D51D9">
        <w:rPr>
          <w:i/>
        </w:rPr>
        <w:t>i</w:t>
      </w:r>
      <w:proofErr w:type="spellEnd"/>
      <w:r w:rsidRPr="004D51D9">
        <w:t xml:space="preserve">, </w:t>
      </w:r>
      <w:r w:rsidR="004E3776" w:rsidRPr="004D51D9">
        <w:rPr>
          <w:i/>
          <w:iCs/>
        </w:rPr>
        <w:t>Y</w:t>
      </w:r>
      <w:r w:rsidR="004E3776" w:rsidRPr="004D51D9">
        <w:t xml:space="preserve"> </w:t>
      </w:r>
      <w:r w:rsidRPr="004D51D9">
        <w:t xml:space="preserve">is the built-year of the property, also known as the “running variable” in RD parlance, </w:t>
      </w:r>
      <w:r w:rsidR="004E3776" w:rsidRPr="004D51D9">
        <w:rPr>
          <w:i/>
          <w:iCs/>
        </w:rPr>
        <w:t xml:space="preserve">c </w:t>
      </w:r>
      <w:r w:rsidRPr="004D51D9">
        <w:t xml:space="preserve">is the threshold value (1980 in our case) along the dimension of the running variable, and </w:t>
      </w:r>
      <w:r w:rsidR="004E3776" w:rsidRPr="004D51D9">
        <w:rPr>
          <w:i/>
          <w:iCs/>
        </w:rPr>
        <w:t>R</w:t>
      </w:r>
      <w:r w:rsidR="004E3776" w:rsidRPr="004D51D9">
        <w:t xml:space="preserve"> </w:t>
      </w:r>
      <w:r w:rsidRPr="004D51D9">
        <w:t xml:space="preserve">is a rent-control “treatment” indicator that evaluates to </w:t>
      </w:r>
      <w:r w:rsidR="00DB1142">
        <w:t>one</w:t>
      </w:r>
      <w:r w:rsidRPr="004D51D9">
        <w:t xml:space="preserve"> for properties built prior to 1980</w:t>
      </w:r>
      <w:r w:rsidR="00DB1142">
        <w:t xml:space="preserve"> and zero otherwise</w:t>
      </w:r>
      <w:r w:rsidRPr="004D51D9">
        <w:t xml:space="preserve">. The bandwidth parameter </w:t>
      </w:r>
      <w:r w:rsidR="004E3776" w:rsidRPr="004D51D9">
        <w:rPr>
          <w:i/>
          <w:iCs/>
        </w:rPr>
        <w:t>h</w:t>
      </w:r>
      <w:r w:rsidR="004E3776" w:rsidRPr="004D51D9">
        <w:t xml:space="preserve"> </w:t>
      </w:r>
      <w:r w:rsidRPr="004D51D9">
        <w:t>identifies the maximum distance between the running variable and the cut</w:t>
      </w:r>
      <w:r w:rsidR="004E3776" w:rsidRPr="004D51D9">
        <w:t>-</w:t>
      </w:r>
      <w:r w:rsidRPr="004D51D9">
        <w:t xml:space="preserve">off threshold, beyond which observations are excluded from the sample. Many methods exist to identify an optimal bandwidth, but in repeated tests I found that my estimates of the treatment effect were </w:t>
      </w:r>
      <w:r w:rsidR="00C96266">
        <w:t xml:space="preserve">robust </w:t>
      </w:r>
      <w:r w:rsidRPr="004D51D9">
        <w:t xml:space="preserve">to </w:t>
      </w:r>
      <w:r w:rsidR="00C96266">
        <w:t>variation of this value</w:t>
      </w:r>
      <w:r w:rsidRPr="004D51D9">
        <w:t>. I ultimately settled on a bandwidth of 27 because this limits the sample to buildings constructed between 1953 and 2007, which ensures that only buildings with a full 10 years of history over the period of observation (2007-2016) are included in the analysis.</w:t>
      </w:r>
    </w:p>
    <w:p w14:paraId="35670B04" w14:textId="77777777" w:rsidR="00EB423F" w:rsidRPr="004D51D9" w:rsidRDefault="00DB41D6" w:rsidP="00DB41D6">
      <w:pPr>
        <w:pStyle w:val="Heading1"/>
        <w:rPr>
          <w:rFonts w:cs="Times New Roman"/>
        </w:rPr>
      </w:pPr>
      <w:r w:rsidRPr="004D51D9">
        <w:rPr>
          <w:rFonts w:cs="Times New Roman"/>
        </w:rPr>
        <w:t>Results</w:t>
      </w:r>
    </w:p>
    <w:p w14:paraId="4D1E6927" w14:textId="77777777" w:rsidR="00DB41D6" w:rsidRPr="004D51D9" w:rsidRDefault="00DB41D6" w:rsidP="00DB41D6">
      <w:pPr>
        <w:pStyle w:val="Heading2"/>
        <w:rPr>
          <w:rFonts w:cs="Times New Roman"/>
        </w:rPr>
      </w:pPr>
      <w:r w:rsidRPr="004D51D9">
        <w:rPr>
          <w:rFonts w:cs="Times New Roman"/>
        </w:rPr>
        <w:t>Empirical Analysis</w:t>
      </w:r>
    </w:p>
    <w:p w14:paraId="22B4C8B3" w14:textId="6D393DBB" w:rsidR="00DB41D6" w:rsidRPr="004D51D9" w:rsidRDefault="00DB41D6" w:rsidP="00DB41D6">
      <w:pPr>
        <w:pStyle w:val="Heading3"/>
        <w:rPr>
          <w:rFonts w:cs="Times New Roman"/>
        </w:rPr>
      </w:pPr>
      <w:r w:rsidRPr="004D51D9">
        <w:rPr>
          <w:rFonts w:cs="Times New Roman"/>
        </w:rPr>
        <w:t xml:space="preserve">Eviction </w:t>
      </w:r>
      <w:r w:rsidR="002C671C">
        <w:rPr>
          <w:rFonts w:cs="Times New Roman"/>
        </w:rPr>
        <w:t>Notices</w:t>
      </w:r>
    </w:p>
    <w:p w14:paraId="0C84321A" w14:textId="45BDDF5E" w:rsidR="00DB41D6" w:rsidRPr="008406AA" w:rsidRDefault="00DB41D6" w:rsidP="00DB41D6">
      <w:pPr>
        <w:rPr>
          <w:b/>
          <w:bCs/>
          <w:i/>
          <w:iCs/>
        </w:rPr>
      </w:pPr>
      <w:r w:rsidRPr="004D51D9">
        <w:t>Table 1 summarizes the eviction records (n=</w:t>
      </w:r>
      <w:r w:rsidR="009E66C8">
        <w:t>13,963</w:t>
      </w:r>
      <w:r w:rsidRPr="004D51D9">
        <w:t xml:space="preserve">) used in the main analysis after segmenting by eviction type category and their built-year relative to the 1980 </w:t>
      </w:r>
      <w:r w:rsidR="008406AA" w:rsidRPr="004D51D9">
        <w:t>cut-off</w:t>
      </w:r>
      <w:r w:rsidRPr="004D51D9">
        <w:t xml:space="preserve">. </w:t>
      </w:r>
      <w:r w:rsidRPr="008406AA">
        <w:rPr>
          <w:b/>
          <w:bCs/>
          <w:i/>
          <w:iCs/>
        </w:rPr>
        <w:t>[Table 1 near here]</w:t>
      </w:r>
      <w:r w:rsidRPr="004D51D9">
        <w:t>. The left two columns represent eviction notices filed in rent</w:t>
      </w:r>
      <w:r w:rsidR="00DB1142">
        <w:t>-</w:t>
      </w:r>
      <w:r w:rsidRPr="004D51D9">
        <w:t>controlled properties, while the right two columns represent those filed in uncontrolled properties. The first thing that stands out is that there are nearly two orders of magnitude (~7</w:t>
      </w:r>
      <w:r w:rsidR="00D24E65">
        <w:t>3</w:t>
      </w:r>
      <w:r w:rsidRPr="004D51D9">
        <w:t>x) more notices filed in rent</w:t>
      </w:r>
      <w:r w:rsidR="00DB1142">
        <w:t>-</w:t>
      </w:r>
      <w:r w:rsidRPr="004D51D9">
        <w:t xml:space="preserve">controlled properties. More than anything </w:t>
      </w:r>
      <w:r w:rsidRPr="004D51D9">
        <w:lastRenderedPageBreak/>
        <w:t xml:space="preserve">this number reflects the fact that of the </w:t>
      </w:r>
      <w:r w:rsidR="009E66C8" w:rsidRPr="009E66C8">
        <w:t>344,513</w:t>
      </w:r>
      <w:r w:rsidR="009E66C8">
        <w:t xml:space="preserve"> </w:t>
      </w:r>
      <w:r w:rsidRPr="004D51D9">
        <w:t xml:space="preserve">property records used in the analysis only </w:t>
      </w:r>
      <w:r w:rsidR="009E66C8" w:rsidRPr="009E66C8">
        <w:t>14</w:t>
      </w:r>
      <w:r w:rsidR="009E66C8">
        <w:t>,</w:t>
      </w:r>
      <w:r w:rsidR="009E66C8" w:rsidRPr="009E66C8">
        <w:t xml:space="preserve">132 </w:t>
      </w:r>
      <w:r w:rsidRPr="004D51D9">
        <w:t>(4.</w:t>
      </w:r>
      <w:r w:rsidR="009E66C8">
        <w:t>1</w:t>
      </w:r>
      <w:r w:rsidRPr="004D51D9">
        <w:t>%) were for properties built after 19</w:t>
      </w:r>
      <w:r w:rsidR="009E66C8">
        <w:t>79</w:t>
      </w:r>
      <w:r w:rsidRPr="004D51D9">
        <w:t xml:space="preserve">, </w:t>
      </w:r>
      <w:r w:rsidR="00DB1142">
        <w:t>a fact which</w:t>
      </w:r>
      <w:r w:rsidRPr="004D51D9">
        <w:t xml:space="preserve"> itself is explained by the diminishing construction rate of multifamily housing in San Francisco over time (Figure 1). </w:t>
      </w:r>
      <w:r w:rsidRPr="008406AA">
        <w:rPr>
          <w:b/>
          <w:bCs/>
          <w:i/>
          <w:iCs/>
        </w:rPr>
        <w:t>[Figure 1 near here]</w:t>
      </w:r>
    </w:p>
    <w:p w14:paraId="4682D654" w14:textId="0EF0CAC9" w:rsidR="007248EC" w:rsidRPr="004D51D9" w:rsidRDefault="007248EC" w:rsidP="007248EC">
      <w:pPr>
        <w:ind w:firstLine="720"/>
      </w:pPr>
      <w:r w:rsidRPr="004D51D9">
        <w:t xml:space="preserve">More interesting, however, is the fact that </w:t>
      </w:r>
      <w:r w:rsidR="00C96266">
        <w:t xml:space="preserve">No-fault </w:t>
      </w:r>
      <w:r w:rsidRPr="004D51D9">
        <w:t xml:space="preserve">evictions </w:t>
      </w:r>
      <w:r w:rsidR="00C96266">
        <w:t xml:space="preserve">constitute a much higher percentage of eviction notices </w:t>
      </w:r>
      <w:r w:rsidRPr="004D51D9">
        <w:t xml:space="preserve">at </w:t>
      </w:r>
      <w:r w:rsidR="00C96266">
        <w:t>rent</w:t>
      </w:r>
      <w:r w:rsidR="00DB1142">
        <w:t>-</w:t>
      </w:r>
      <w:r w:rsidRPr="004D51D9">
        <w:t xml:space="preserve">controlled properties </w:t>
      </w:r>
      <w:r w:rsidR="00C96266">
        <w:t>compared to the uncontrolled sector.</w:t>
      </w:r>
      <w:r w:rsidRPr="00F16756">
        <w:rPr>
          <w:rStyle w:val="FootnoteReference"/>
        </w:rPr>
        <w:footnoteReference w:id="9"/>
      </w:r>
      <w:r w:rsidRPr="004D51D9">
        <w:t xml:space="preserve"> These findings are</w:t>
      </w:r>
      <w:r w:rsidR="00C96266">
        <w:t xml:space="preserve"> consistent with Asquith </w:t>
      </w:r>
      <w:r w:rsidR="00C96266">
        <w:fldChar w:fldCharType="begin"/>
      </w:r>
      <w:r w:rsidR="00C96266">
        <w:instrText xml:space="preserve"> ADDIN ZOTERO_ITEM CSL_CITATION {"citationID":"T2JHdaoP","properties":{"formattedCitation":"(2019)","plainCitation":"(2019)","noteIndex":0},"citationItems":[{"id":491,"uris":["http://zotero.org/users/3697207/items/9NQ3QVUB"],"uri":["http://zotero.org/users/3697207/items/9NQ3QVUB"],"itemData":{"id":491,"type":"article-journal","source":"Google Scholar","title":"Do Rent Increases Reduce the Housing Supply under Rent Control? Evidence from Evictions in San Francisco","title-short":"Do Rent Increases Reduce the Housing Supply under Rent Control?","author":[{"family":"Asquith","given":"Brian"}],"issued":{"date-parts":[["2019"]]}},"suppress-author":true}],"schema":"https://github.com/citation-style-language/schema/raw/master/csl-citation.json"} </w:instrText>
      </w:r>
      <w:r w:rsidR="00C96266">
        <w:fldChar w:fldCharType="separate"/>
      </w:r>
      <w:r w:rsidR="00C96266">
        <w:rPr>
          <w:noProof/>
        </w:rPr>
        <w:t>(2019)</w:t>
      </w:r>
      <w:r w:rsidR="00C96266">
        <w:fldChar w:fldCharType="end"/>
      </w:r>
      <w:r w:rsidR="00C96266">
        <w:t>, and</w:t>
      </w:r>
      <w:r w:rsidRPr="004D51D9">
        <w:t xml:space="preserve"> </w:t>
      </w:r>
      <w:r w:rsidR="00C96266">
        <w:t xml:space="preserve">support </w:t>
      </w:r>
      <w:r w:rsidRPr="004D51D9">
        <w:t xml:space="preserve">the idea that San Francisco’s rent control laws may be incentivizing controlled landlords to evict law-abiding tenants. </w:t>
      </w:r>
      <w:r w:rsidR="00C96266">
        <w:t>Also of interest is the fact that B</w:t>
      </w:r>
      <w:r w:rsidRPr="004D51D9">
        <w:t xml:space="preserve">reach of </w:t>
      </w:r>
      <w:r w:rsidR="00C96266">
        <w:t>L</w:t>
      </w:r>
      <w:r w:rsidRPr="004D51D9">
        <w:t xml:space="preserve">ease or </w:t>
      </w:r>
      <w:r w:rsidR="00C96266">
        <w:t>A</w:t>
      </w:r>
      <w:r w:rsidRPr="004D51D9">
        <w:t>t-fault evictions constitute a smaller portion of evictions in rent control</w:t>
      </w:r>
      <w:r w:rsidR="00C96266">
        <w:t>led properties</w:t>
      </w:r>
      <w:r w:rsidRPr="004D51D9">
        <w:t xml:space="preserve">, </w:t>
      </w:r>
      <w:r w:rsidR="00C96266">
        <w:t>which</w:t>
      </w:r>
      <w:r w:rsidRPr="004D51D9">
        <w:t xml:space="preserve"> </w:t>
      </w:r>
      <w:r w:rsidR="00DB1142">
        <w:t>may</w:t>
      </w:r>
      <w:r w:rsidRPr="004D51D9">
        <w:t xml:space="preserve"> suggest </w:t>
      </w:r>
      <w:r w:rsidR="00C96266">
        <w:t xml:space="preserve">that </w:t>
      </w:r>
      <w:r w:rsidRPr="004D51D9">
        <w:t xml:space="preserve">rent control is actually achieving one of its primary objectives of keeping tenants from failing to pay their rent. </w:t>
      </w:r>
      <w:r w:rsidR="00C96266">
        <w:t>Unfortunately</w:t>
      </w:r>
      <w:r w:rsidR="00DB1142">
        <w:t>,</w:t>
      </w:r>
      <w:r w:rsidR="00C96266">
        <w:t xml:space="preserve"> there are too many uncategorized eviction notices </w:t>
      </w:r>
      <w:r w:rsidR="00DB1142">
        <w:t xml:space="preserve">in the dataset </w:t>
      </w:r>
      <w:r w:rsidR="00C96266">
        <w:t>to say anything more conclusive on the subject.</w:t>
      </w:r>
    </w:p>
    <w:p w14:paraId="246527EA" w14:textId="77777777" w:rsidR="007248EC" w:rsidRPr="004D51D9" w:rsidRDefault="007248EC" w:rsidP="007248EC">
      <w:pPr>
        <w:pStyle w:val="Heading3"/>
        <w:rPr>
          <w:rFonts w:cs="Times New Roman"/>
        </w:rPr>
      </w:pPr>
      <w:r w:rsidRPr="004D51D9">
        <w:rPr>
          <w:rFonts w:cs="Times New Roman"/>
        </w:rPr>
        <w:t>Mean Differences</w:t>
      </w:r>
    </w:p>
    <w:p w14:paraId="57B8F5DA" w14:textId="2DFC0014" w:rsidR="007248EC" w:rsidRPr="008406AA" w:rsidRDefault="007248EC" w:rsidP="007248EC">
      <w:pPr>
        <w:pStyle w:val="Paragraph"/>
        <w:rPr>
          <w:b/>
          <w:bCs/>
          <w:i/>
          <w:iCs/>
        </w:rPr>
      </w:pPr>
      <w:r w:rsidRPr="004D51D9">
        <w:t xml:space="preserve">Table 2 compares the counts and averages of the </w:t>
      </w:r>
      <w:r w:rsidR="00C96266">
        <w:t>aggregate assessor r</w:t>
      </w:r>
      <w:r w:rsidRPr="004D51D9">
        <w:t xml:space="preserve">ecords by rent control eligibility and built-year threshold. By normalizing the data </w:t>
      </w:r>
      <w:r w:rsidR="00C96266">
        <w:t>according to the</w:t>
      </w:r>
      <w:r w:rsidRPr="004D51D9">
        <w:t xml:space="preserve"> number of observations in each category, average outcomes can be compared between </w:t>
      </w:r>
      <w:r w:rsidRPr="004D51D9">
        <w:lastRenderedPageBreak/>
        <w:t xml:space="preserve">the </w:t>
      </w:r>
      <w:r w:rsidR="00C96266">
        <w:t>treatment and control</w:t>
      </w:r>
      <w:r w:rsidRPr="004D51D9">
        <w:t xml:space="preserve"> groups to obtain a reliable first indication of what a </w:t>
      </w:r>
      <w:r w:rsidR="00DB1142">
        <w:t xml:space="preserve">more detailed </w:t>
      </w:r>
      <w:r w:rsidRPr="004D51D9">
        <w:t xml:space="preserve">model might reveal. The results show a </w:t>
      </w:r>
      <w:r w:rsidR="00C96266">
        <w:t xml:space="preserve">mean </w:t>
      </w:r>
      <w:r w:rsidRPr="004D51D9">
        <w:t>difference of +</w:t>
      </w:r>
      <w:r w:rsidR="00B505A7">
        <w:t>0</w:t>
      </w:r>
      <w:r w:rsidRPr="004D51D9">
        <w:t>.</w:t>
      </w:r>
      <w:r w:rsidR="00B505A7">
        <w:t>77</w:t>
      </w:r>
      <w:r w:rsidRPr="004D51D9">
        <w:t xml:space="preserve">% in the rate of eviction notices for rent controlled addresses </w:t>
      </w:r>
      <w:r w:rsidR="00C96266">
        <w:t>relative</w:t>
      </w:r>
      <w:r w:rsidRPr="004D51D9">
        <w:t xml:space="preserve"> to their uncontrolled counterparts</w:t>
      </w:r>
      <w:r w:rsidR="00B505A7">
        <w:t xml:space="preserve">. Though small in magnitude, this difference corresponds to an </w:t>
      </w:r>
      <w:r w:rsidR="00B505A7" w:rsidRPr="00DB1142">
        <w:t>eviction rate that is</w:t>
      </w:r>
      <w:r w:rsidRPr="00DB1142">
        <w:t xml:space="preserve"> 2.</w:t>
      </w:r>
      <w:r w:rsidR="00B505A7" w:rsidRPr="00DB1142">
        <w:t>4</w:t>
      </w:r>
      <w:r w:rsidRPr="00DB1142">
        <w:t xml:space="preserve">x </w:t>
      </w:r>
      <w:r w:rsidR="00B505A7" w:rsidRPr="00DB1142">
        <w:t>higher for rent controlled addresses</w:t>
      </w:r>
      <w:r w:rsidRPr="004D51D9">
        <w:t xml:space="preserve"> on an annual, per-unit basis. </w:t>
      </w:r>
      <w:r w:rsidRPr="008406AA">
        <w:rPr>
          <w:b/>
          <w:bCs/>
          <w:i/>
          <w:iCs/>
        </w:rPr>
        <w:t>[Table 2 near here]</w:t>
      </w:r>
    </w:p>
    <w:p w14:paraId="6DBC8EB9" w14:textId="77777777" w:rsidR="007248EC" w:rsidRPr="004D51D9" w:rsidRDefault="007248EC" w:rsidP="007248EC">
      <w:pPr>
        <w:pStyle w:val="Heading3"/>
        <w:rPr>
          <w:rFonts w:cs="Times New Roman"/>
        </w:rPr>
      </w:pPr>
      <w:r w:rsidRPr="004D51D9">
        <w:rPr>
          <w:rFonts w:cs="Times New Roman"/>
        </w:rPr>
        <w:t>Graphical Analysis</w:t>
      </w:r>
    </w:p>
    <w:p w14:paraId="75BC49F0" w14:textId="648A5A65" w:rsidR="007248EC" w:rsidRPr="004D51D9" w:rsidRDefault="007248EC" w:rsidP="007248EC">
      <w:pPr>
        <w:pStyle w:val="Paragraph"/>
      </w:pPr>
      <w:r w:rsidRPr="004D51D9">
        <w:t xml:space="preserve">Figure 2 shows the traditional RD plot, comparing average observed outcomes on the Y-axis across binned values of the running variable </w:t>
      </w:r>
      <w:r w:rsidR="00C96266">
        <w:t xml:space="preserve">(built-year) </w:t>
      </w:r>
      <w:r w:rsidRPr="004D51D9">
        <w:t>on the X axis for the range defined by the bandwidth parameter</w:t>
      </w:r>
      <w:r w:rsidR="00C96266">
        <w:t xml:space="preserve"> </w:t>
      </w:r>
      <w:r w:rsidR="00C96266">
        <w:rPr>
          <w:i/>
          <w:iCs/>
        </w:rPr>
        <w:t>h</w:t>
      </w:r>
      <w:r w:rsidRPr="004D51D9">
        <w:t>. The data points on either side of the built-year threshold are used to fit two linear models that highlight the discontinuous nature of this relationship. Visual inspection shows the size of the discontinuity in Figure 2 closely approximates not only the mean difference computed from Table 1 (~</w:t>
      </w:r>
      <w:r w:rsidR="00C96266">
        <w:t>0.77</w:t>
      </w:r>
      <w:r w:rsidRPr="004D51D9">
        <w:t>%), but also the size of treatment effects estimated by the RD models below (0.09% - 1.</w:t>
      </w:r>
      <w:r w:rsidR="00C96266">
        <w:t>41</w:t>
      </w:r>
      <w:r w:rsidRPr="004D51D9">
        <w:t xml:space="preserve">%). </w:t>
      </w:r>
    </w:p>
    <w:p w14:paraId="536D6A68" w14:textId="30F5F9CC" w:rsidR="007248EC" w:rsidRPr="004D51D9" w:rsidRDefault="007248EC" w:rsidP="007248EC">
      <w:pPr>
        <w:ind w:firstLine="720"/>
        <w:rPr>
          <w:i/>
          <w:iCs/>
        </w:rPr>
      </w:pPr>
      <w:r w:rsidRPr="004D51D9">
        <w:t xml:space="preserve">The data presented in Figure 2 </w:t>
      </w:r>
      <w:r w:rsidR="00DB1142">
        <w:t xml:space="preserve">also </w:t>
      </w:r>
      <w:r w:rsidRPr="004D51D9">
        <w:t>clearly show that a significant and unique discontinuity exists at the threshold, adding substantive, visual evidence of a real causal effect. They also suggest that apart from the discontinuity itself, there exists almost no correlation between eviction rates and built-year. This lends additional credibility to a causal interpretation because it increases the likelihood of treatment assignment (i.e. rent control</w:t>
      </w:r>
      <w:r w:rsidR="00DB1142">
        <w:t xml:space="preserve"> status</w:t>
      </w:r>
      <w:r w:rsidRPr="004D51D9">
        <w:t xml:space="preserve">) being the only channel through which systematic variation in eviction rates </w:t>
      </w:r>
      <w:r w:rsidR="00C96266">
        <w:t>explains</w:t>
      </w:r>
      <w:r w:rsidRPr="004D51D9">
        <w:t xml:space="preserve"> variation in the property built-year. </w:t>
      </w:r>
      <w:r w:rsidRPr="008406AA">
        <w:rPr>
          <w:b/>
          <w:bCs/>
          <w:i/>
          <w:iCs/>
        </w:rPr>
        <w:t>[Figure 2 near here]</w:t>
      </w:r>
    </w:p>
    <w:p w14:paraId="2797F91D" w14:textId="77777777" w:rsidR="007248EC" w:rsidRPr="004D51D9" w:rsidRDefault="007248EC" w:rsidP="007248EC">
      <w:pPr>
        <w:pStyle w:val="Heading2"/>
        <w:rPr>
          <w:rFonts w:cs="Times New Roman"/>
        </w:rPr>
      </w:pPr>
      <w:r w:rsidRPr="004D51D9">
        <w:rPr>
          <w:rFonts w:cs="Times New Roman"/>
        </w:rPr>
        <w:lastRenderedPageBreak/>
        <w:t>Model Results</w:t>
      </w:r>
    </w:p>
    <w:p w14:paraId="0C3CA581" w14:textId="3A255A9A" w:rsidR="007248EC" w:rsidRPr="008406AA" w:rsidRDefault="007248EC" w:rsidP="007248EC">
      <w:pPr>
        <w:ind w:firstLine="720"/>
        <w:rPr>
          <w:b/>
          <w:bCs/>
        </w:rPr>
      </w:pPr>
      <w:r w:rsidRPr="004D51D9">
        <w:t xml:space="preserve">Four RD models are fit according to the approach described above. Each of the four models estimates a positive treatment effect on rent control significant at the 0.002 level or below. </w:t>
      </w:r>
      <w:r w:rsidR="00184890">
        <w:t xml:space="preserve">After applying the bandwidth parameter and filtering out records with malformed or incomplete covariate data, </w:t>
      </w:r>
      <w:r w:rsidR="00C96266">
        <w:t>a</w:t>
      </w:r>
      <w:r w:rsidR="00184890">
        <w:t xml:space="preserve"> total of 53,493 observations are used </w:t>
      </w:r>
      <w:r w:rsidR="00C96266">
        <w:t>to estimate the</w:t>
      </w:r>
      <w:r w:rsidR="00DB1142">
        <w:t>se</w:t>
      </w:r>
      <w:r w:rsidR="00C96266">
        <w:t xml:space="preserve"> models</w:t>
      </w:r>
      <w:r w:rsidR="00184890">
        <w:t xml:space="preserve">. </w:t>
      </w:r>
      <w:r w:rsidRPr="004D51D9">
        <w:t xml:space="preserve">The results are summarized in Table 3. </w:t>
      </w:r>
      <w:r w:rsidRPr="008406AA">
        <w:rPr>
          <w:b/>
          <w:bCs/>
          <w:i/>
          <w:iCs/>
        </w:rPr>
        <w:t>[Table 3 near here]</w:t>
      </w:r>
    </w:p>
    <w:p w14:paraId="0DA602C9" w14:textId="7E51CE06" w:rsidR="007248EC" w:rsidRPr="004D51D9" w:rsidRDefault="007248EC" w:rsidP="007248EC">
      <w:pPr>
        <w:pStyle w:val="Newparagraph"/>
      </w:pPr>
      <w:r w:rsidRPr="004D51D9">
        <w:t>Using the specification described in Equation 1, Model 1 estimates an average treatment effect of ~</w:t>
      </w:r>
      <w:r w:rsidR="00184890">
        <w:t>0.9</w:t>
      </w:r>
      <w:r w:rsidRPr="004D51D9">
        <w:t xml:space="preserve">% </w:t>
      </w:r>
      <w:r w:rsidR="00C96266">
        <w:t>(p=</w:t>
      </w:r>
      <w:r w:rsidRPr="004D51D9">
        <w:t>0.002</w:t>
      </w:r>
      <w:r w:rsidR="00C96266">
        <w:t>)</w:t>
      </w:r>
      <w:r w:rsidRPr="004D51D9">
        <w:t xml:space="preserve">. This estimate is slightly </w:t>
      </w:r>
      <w:r w:rsidR="00184890">
        <w:t>larger</w:t>
      </w:r>
      <w:r w:rsidRPr="004D51D9">
        <w:t xml:space="preserve"> than the mean difference-based estimate</w:t>
      </w:r>
      <w:r w:rsidR="00184890">
        <w:t xml:space="preserve"> (0.77%)</w:t>
      </w:r>
      <w:r w:rsidRPr="004D51D9">
        <w:t xml:space="preserve">, but still very much in line with the size of the discontinuity </w:t>
      </w:r>
      <w:r w:rsidR="00C96266">
        <w:t xml:space="preserve">observed </w:t>
      </w:r>
      <w:r w:rsidRPr="004D51D9">
        <w:t>in Figure 2.</w:t>
      </w:r>
    </w:p>
    <w:p w14:paraId="34C57FFC" w14:textId="5BBDC175" w:rsidR="007248EC" w:rsidRPr="004D51D9" w:rsidRDefault="007248EC" w:rsidP="007248EC">
      <w:pPr>
        <w:ind w:firstLine="720"/>
      </w:pPr>
      <w:r w:rsidRPr="004D51D9">
        <w:t xml:space="preserve">Model 2 adds </w:t>
      </w:r>
      <w:r w:rsidR="00C96266">
        <w:t>two</w:t>
      </w:r>
      <w:r w:rsidRPr="004D51D9">
        <w:t xml:space="preserve"> property-level characteristics derived from the assessor records</w:t>
      </w:r>
      <w:r w:rsidR="00C96266">
        <w:t>: 1) an interaction term between</w:t>
      </w:r>
      <w:r w:rsidRPr="004D51D9">
        <w:t xml:space="preserve"> the log of the assessed value </w:t>
      </w:r>
      <w:r w:rsidR="00C96266">
        <w:t>and</w:t>
      </w:r>
      <w:r w:rsidR="00184890">
        <w:t xml:space="preserve"> </w:t>
      </w:r>
      <w:r w:rsidRPr="004D51D9">
        <w:t xml:space="preserve">the log of the assessed square footage of the property; and 2) the log of the total </w:t>
      </w:r>
      <w:r w:rsidR="00C96266">
        <w:t xml:space="preserve">number of </w:t>
      </w:r>
      <w:r w:rsidRPr="004D51D9">
        <w:t>units at the property. The value-per-square-foot</w:t>
      </w:r>
      <w:r w:rsidR="00C96266">
        <w:t xml:space="preserve"> interaction</w:t>
      </w:r>
      <w:r w:rsidRPr="004D51D9">
        <w:t xml:space="preserve"> </w:t>
      </w:r>
      <w:r w:rsidR="00184890">
        <w:t xml:space="preserve">term </w:t>
      </w:r>
      <w:r w:rsidRPr="004D51D9">
        <w:t xml:space="preserve">is found to positively correlate with eviction rates, while the coefficient on total units is negative, suggesting eviction rates are higher in more valuable properties with fewer units. This </w:t>
      </w:r>
      <w:r w:rsidR="00DB1142">
        <w:t xml:space="preserve">result </w:t>
      </w:r>
      <w:r w:rsidRPr="004D51D9">
        <w:t>makes intuitive sense, as more valuable properties can likely fetch higher market rate rents</w:t>
      </w:r>
      <w:r w:rsidR="00C96266">
        <w:t xml:space="preserve">, and </w:t>
      </w:r>
      <w:r w:rsidRPr="004D51D9">
        <w:t>in buildings with fewer units the potential benefit of evicting one tenant represents a higher proportion of a property’s total value to the landlord. Both of these variables are found to be significant at the level of &lt;0.001. Their inclusion in the model produces a larger treatment effect estimate of 1.</w:t>
      </w:r>
      <w:r w:rsidR="00184890">
        <w:t>36</w:t>
      </w:r>
      <w:r w:rsidRPr="004D51D9">
        <w:t xml:space="preserve">% and improves the </w:t>
      </w:r>
      <w:r w:rsidR="00C96266">
        <w:t>significance level</w:t>
      </w:r>
      <w:r w:rsidRPr="004D51D9">
        <w:t xml:space="preserve"> from 0.002 to &lt;0.001.</w:t>
      </w:r>
    </w:p>
    <w:p w14:paraId="17CBAB69" w14:textId="1A3A2F22" w:rsidR="007248EC" w:rsidRPr="004D51D9" w:rsidRDefault="007248EC" w:rsidP="007248EC">
      <w:pPr>
        <w:ind w:firstLine="720"/>
      </w:pPr>
      <w:r w:rsidRPr="004D51D9">
        <w:t xml:space="preserve">Model 3 adds Census tract-based demographic characteristics from the 2009-2013 5-year American Community Survey. </w:t>
      </w:r>
      <w:r w:rsidR="00184890">
        <w:t xml:space="preserve">A </w:t>
      </w:r>
      <w:r w:rsidRPr="004D51D9">
        <w:t>positive coefficient (p=</w:t>
      </w:r>
      <w:r w:rsidR="00184890">
        <w:t>&lt;</w:t>
      </w:r>
      <w:r w:rsidRPr="004D51D9">
        <w:t>0.0</w:t>
      </w:r>
      <w:r w:rsidR="00184890">
        <w:t>01</w:t>
      </w:r>
      <w:r w:rsidRPr="004D51D9">
        <w:t xml:space="preserve">) on the percent of occupied units that are rented rather </w:t>
      </w:r>
      <w:r w:rsidR="00C96266">
        <w:t>(non-owner occupied)</w:t>
      </w:r>
      <w:r w:rsidRPr="004D51D9">
        <w:t xml:space="preserve"> suggests that eviction rates are higher in areas with lower rates of home ownership. </w:t>
      </w:r>
      <w:r w:rsidR="00184890">
        <w:t>Percent</w:t>
      </w:r>
      <w:r w:rsidRPr="004D51D9">
        <w:t xml:space="preserve"> </w:t>
      </w:r>
      <w:r w:rsidR="00184890">
        <w:t>Latino</w:t>
      </w:r>
      <w:r w:rsidRPr="004D51D9">
        <w:t xml:space="preserve"> </w:t>
      </w:r>
      <w:r w:rsidR="00C96266">
        <w:lastRenderedPageBreak/>
        <w:t xml:space="preserve">also </w:t>
      </w:r>
      <w:r w:rsidR="00184890">
        <w:t>has a positive coefficient (p=&lt;0.001), indicating a greater probability of eviction in areas with greater concentrations of Latinos</w:t>
      </w:r>
      <w:r w:rsidRPr="004D51D9">
        <w:t xml:space="preserve">. The </w:t>
      </w:r>
      <w:r w:rsidR="00184890">
        <w:t>addition of these sociodemographic characteristics did not significantly affect the estimated coefficient on rent control (1.35%) which remained significant at the p</w:t>
      </w:r>
      <w:r w:rsidRPr="004D51D9">
        <w:t xml:space="preserve"> &lt; 0.001</w:t>
      </w:r>
      <w:r w:rsidR="00184890">
        <w:t xml:space="preserve"> level</w:t>
      </w:r>
      <w:r w:rsidRPr="004D51D9">
        <w:t>.</w:t>
      </w:r>
      <w:r w:rsidR="00184890">
        <w:t xml:space="preserve"> Alternative model specifications were tested using </w:t>
      </w:r>
      <w:r w:rsidR="00DB1142">
        <w:t>other</w:t>
      </w:r>
      <w:r w:rsidR="00184890">
        <w:t xml:space="preserve"> Census</w:t>
      </w:r>
      <w:r w:rsidR="00C96266">
        <w:t>-based</w:t>
      </w:r>
      <w:r w:rsidR="00184890">
        <w:t xml:space="preserve"> covariates, including median household income and median move-in year. The latter term was included in order to test for the potential effect of tenancy duration</w:t>
      </w:r>
      <w:r w:rsidR="00C96266">
        <w:t>, which in</w:t>
      </w:r>
      <w:r w:rsidR="00184890" w:rsidRPr="004D51D9">
        <w:t xml:space="preserve"> the context of vacancy decontrol </w:t>
      </w:r>
      <w:r w:rsidR="00C96266">
        <w:t>means</w:t>
      </w:r>
      <w:r w:rsidR="00184890" w:rsidRPr="004D51D9">
        <w:t xml:space="preserve"> more heavily discounted rents</w:t>
      </w:r>
      <w:r w:rsidR="00C96266">
        <w:t xml:space="preserve"> and</w:t>
      </w:r>
      <w:r w:rsidR="00DB1142">
        <w:t xml:space="preserve"> thus</w:t>
      </w:r>
      <w:r w:rsidR="00C96266">
        <w:t xml:space="preserve"> a greater incentive to evict</w:t>
      </w:r>
      <w:r w:rsidR="00184890" w:rsidRPr="004D51D9">
        <w:t xml:space="preserve">. I found no evidence to suggest that </w:t>
      </w:r>
      <w:r w:rsidR="00DB1142">
        <w:t>such an effect exists</w:t>
      </w:r>
      <w:r w:rsidR="00184890">
        <w:t>, a</w:t>
      </w:r>
      <w:r w:rsidR="00184890" w:rsidRPr="004D51D9">
        <w:t>lthough it is possible that tract-level Census data is simply not granular enough to capture this relationship</w:t>
      </w:r>
      <w:r w:rsidR="00184890">
        <w:t>. It is also possible that</w:t>
      </w:r>
      <w:r w:rsidR="00184890" w:rsidRPr="004D51D9">
        <w:t xml:space="preserve"> landlords may be less willing to initiate economically</w:t>
      </w:r>
      <w:r w:rsidR="00DB1142">
        <w:t xml:space="preserve"> motivated</w:t>
      </w:r>
      <w:r w:rsidR="00184890" w:rsidRPr="004D51D9">
        <w:t xml:space="preserve"> evictions against tenants with whom they have long-standing relationships.</w:t>
      </w:r>
    </w:p>
    <w:p w14:paraId="4DB0E038" w14:textId="0692FD48" w:rsidR="00DB41D6" w:rsidRPr="004D51D9" w:rsidRDefault="007248EC" w:rsidP="005A5205">
      <w:pPr>
        <w:ind w:firstLine="720"/>
      </w:pPr>
      <w:r w:rsidRPr="004D51D9">
        <w:t xml:space="preserve">Model 4 adds </w:t>
      </w:r>
      <w:r w:rsidR="00DD6E15" w:rsidRPr="004D51D9">
        <w:t>neighbourhood</w:t>
      </w:r>
      <w:r w:rsidRPr="004D51D9">
        <w:t xml:space="preserve"> fixed effects to the equation according to the 72 assessor-designated </w:t>
      </w:r>
      <w:r w:rsidR="008406AA" w:rsidRPr="004D51D9">
        <w:t>neighbourhoods</w:t>
      </w:r>
      <w:r w:rsidRPr="004D51D9">
        <w:t xml:space="preserve"> that appear in the assessor records. These terms are a blunt instrument designed to account for any other geographic variation not captured by the Census-based sociodemographic variables. The addition of </w:t>
      </w:r>
      <w:r w:rsidR="008406AA" w:rsidRPr="004D51D9">
        <w:t>neighbourhood</w:t>
      </w:r>
      <w:r w:rsidRPr="004D51D9">
        <w:t xml:space="preserve"> fixed effects </w:t>
      </w:r>
      <w:r w:rsidR="00184890">
        <w:t>in a slightly higher estimated</w:t>
      </w:r>
      <w:r w:rsidRPr="004D51D9">
        <w:t xml:space="preserve"> treatment effect </w:t>
      </w:r>
      <w:r w:rsidR="00184890">
        <w:t xml:space="preserve">of </w:t>
      </w:r>
      <w:r w:rsidRPr="004D51D9">
        <w:t>~1.4</w:t>
      </w:r>
      <w:r w:rsidR="00184890">
        <w:t>1</w:t>
      </w:r>
      <w:r w:rsidRPr="004D51D9">
        <w:t>%</w:t>
      </w:r>
      <w:r w:rsidR="00184890">
        <w:t>,</w:t>
      </w:r>
      <w:r w:rsidRPr="004D51D9">
        <w:t xml:space="preserve"> </w:t>
      </w:r>
      <w:r w:rsidR="00DB1142">
        <w:t xml:space="preserve">still </w:t>
      </w:r>
      <w:r w:rsidRPr="004D51D9">
        <w:t>significant at the &lt; 0.001 level.</w:t>
      </w:r>
    </w:p>
    <w:p w14:paraId="15969CD6" w14:textId="77777777" w:rsidR="00DB41D6" w:rsidRPr="004D51D9" w:rsidRDefault="007248EC" w:rsidP="007248EC">
      <w:pPr>
        <w:pStyle w:val="Heading1"/>
        <w:rPr>
          <w:rFonts w:cs="Times New Roman"/>
        </w:rPr>
      </w:pPr>
      <w:r w:rsidRPr="004D51D9">
        <w:rPr>
          <w:rFonts w:cs="Times New Roman"/>
        </w:rPr>
        <w:t>Discussion</w:t>
      </w:r>
    </w:p>
    <w:p w14:paraId="4E0B8513" w14:textId="77777777" w:rsidR="00DB41D6" w:rsidRPr="004D51D9" w:rsidRDefault="007248EC" w:rsidP="007248EC">
      <w:pPr>
        <w:pStyle w:val="Heading2"/>
        <w:rPr>
          <w:rFonts w:cs="Times New Roman"/>
        </w:rPr>
      </w:pPr>
      <w:r w:rsidRPr="004D51D9">
        <w:rPr>
          <w:rFonts w:cs="Times New Roman"/>
        </w:rPr>
        <w:t>Internal Validity</w:t>
      </w:r>
    </w:p>
    <w:p w14:paraId="47E6E47A" w14:textId="77777777" w:rsidR="00C96266" w:rsidRDefault="00302396" w:rsidP="00C96266">
      <w:r w:rsidRPr="004D51D9">
        <w:t xml:space="preserve">One of the biggest limitations of the RD design is that it is applicable under only a very </w:t>
      </w:r>
      <w:r w:rsidR="00C96266">
        <w:t>limited</w:t>
      </w:r>
      <w:r w:rsidRPr="004D51D9">
        <w:t xml:space="preserve"> set of experimental conditions. Fortunately, because the identification strategy is so transparent, there are many well-documented methods available for investigating the internal validity of a given RD design.</w:t>
      </w:r>
      <w:r w:rsidR="00C96266">
        <w:t xml:space="preserve"> I will now briefly mention these, which in </w:t>
      </w:r>
      <w:r w:rsidR="00C96266">
        <w:lastRenderedPageBreak/>
        <w:t xml:space="preserve">addition to the small standard errors and p-values reported in the previous section suggest that </w:t>
      </w:r>
      <w:r w:rsidRPr="004D51D9">
        <w:t xml:space="preserve">this study has avoided </w:t>
      </w:r>
      <w:r w:rsidR="00C96266">
        <w:t xml:space="preserve">some of the </w:t>
      </w:r>
      <w:r w:rsidRPr="004D51D9">
        <w:t>biggest pitfalls of the RD method.</w:t>
      </w:r>
    </w:p>
    <w:p w14:paraId="471266DE" w14:textId="228E07FB" w:rsidR="00302396" w:rsidRPr="004D51D9" w:rsidRDefault="00302396" w:rsidP="00C96266">
      <w:pPr>
        <w:pStyle w:val="Newparagraph"/>
      </w:pPr>
      <w:r w:rsidRPr="004D51D9">
        <w:t xml:space="preserve">First, RD </w:t>
      </w:r>
      <w:r w:rsidR="00C96266">
        <w:t xml:space="preserve">assumes </w:t>
      </w:r>
      <w:r w:rsidRPr="004D51D9">
        <w:t xml:space="preserve">that the treatment effect </w:t>
      </w:r>
      <w:r w:rsidR="00C96266">
        <w:t>is</w:t>
      </w:r>
      <w:r w:rsidRPr="004D51D9">
        <w:t xml:space="preserve"> the only discontinuity in an otherwise smooth functional form describing the relationship between the running variable and the outcome. Figure 2 demonstrates this fact visually. The strength of this assumption is further supported by the fact that Figure 2 shows a nearly flat response in the y-axis, and also that each of the four RD models fails to reject the null hypothesis that the coefficient on year-built is zero. T</w:t>
      </w:r>
      <w:r w:rsidR="00DB1142">
        <w:t>ogether, t</w:t>
      </w:r>
      <w:r w:rsidRPr="004D51D9">
        <w:t xml:space="preserve">hese results suggest that apart from treatment </w:t>
      </w:r>
      <w:r w:rsidR="00C96266">
        <w:t xml:space="preserve">effect </w:t>
      </w:r>
      <w:r w:rsidRPr="004D51D9">
        <w:t xml:space="preserve">itself, </w:t>
      </w:r>
      <w:r w:rsidR="00C96266" w:rsidRPr="004D51D9">
        <w:t>the relationship between built-year and eviction rates is effectively random</w:t>
      </w:r>
      <w:r w:rsidRPr="004D51D9">
        <w:t xml:space="preserve">. Although RD does not </w:t>
      </w:r>
      <w:r w:rsidRPr="004D51D9">
        <w:rPr>
          <w:i/>
        </w:rPr>
        <w:t>require</w:t>
      </w:r>
      <w:r w:rsidRPr="004D51D9">
        <w:t xml:space="preserve"> that the running variable be uncorrelated with the outcome, the fact that in this study the treatment assignment itself seems to be the only channel through which variation in eviction rates is related to the property built-year significantly strengthens the case for a causal interpretation.</w:t>
      </w:r>
    </w:p>
    <w:p w14:paraId="2801376E" w14:textId="268324C3" w:rsidR="00302396" w:rsidRPr="004D51D9" w:rsidRDefault="00302396" w:rsidP="00302396">
      <w:r w:rsidRPr="004D51D9">
        <w:tab/>
        <w:t xml:space="preserve">Another common source of bias in RD designs occurs when treatment assignment can be manipulated by </w:t>
      </w:r>
      <w:r w:rsidR="00DB1142">
        <w:t>study participants</w:t>
      </w:r>
      <w:r w:rsidRPr="004D51D9">
        <w:t>. This occurs when subjects are aware of the cut</w:t>
      </w:r>
      <w:r w:rsidR="00C96266">
        <w:t>-</w:t>
      </w:r>
      <w:r w:rsidRPr="004D51D9">
        <w:t>off threshold that determines treatment assignment (</w:t>
      </w:r>
      <w:r w:rsidR="00C96266">
        <w:t>e.g.</w:t>
      </w:r>
      <w:r w:rsidRPr="004D51D9">
        <w:t xml:space="preserve"> policy eligibility), and are able to nudge </w:t>
      </w:r>
      <w:r w:rsidR="00C96266">
        <w:t xml:space="preserve">themselves past that threshold in the dimension of </w:t>
      </w:r>
      <w:r w:rsidRPr="004D51D9">
        <w:t xml:space="preserve">the running variable in order to qualify </w:t>
      </w:r>
      <w:r w:rsidR="00C96266">
        <w:t>for</w:t>
      </w:r>
      <w:r w:rsidRPr="004D51D9">
        <w:t xml:space="preserve"> treatment. Manipulation of this kind would introduce a structural imbalance in the sample population immediately above and below the threshold value, invalidating the experimental design. </w:t>
      </w:r>
      <w:r w:rsidR="00B452FC">
        <w:t xml:space="preserve">In </w:t>
      </w:r>
      <w:r w:rsidR="00C96266">
        <w:t>the case of this study</w:t>
      </w:r>
      <w:r w:rsidR="00B452FC">
        <w:t>, d</w:t>
      </w:r>
      <w:r w:rsidRPr="004D51D9">
        <w:t xml:space="preserve">espite the fact that both landlord and tenant are typically aware of both the age of their property </w:t>
      </w:r>
      <w:r w:rsidR="00C96266">
        <w:t>and the</w:t>
      </w:r>
      <w:r w:rsidRPr="004D51D9">
        <w:t xml:space="preserve"> threshold for rent control eligibility, neither party has the means to change the construction date as recorded by the county assessor’s office. </w:t>
      </w:r>
    </w:p>
    <w:p w14:paraId="51B83633" w14:textId="3C6DA77C" w:rsidR="00302396" w:rsidRDefault="00302396" w:rsidP="00302396">
      <w:r w:rsidRPr="004D51D9">
        <w:tab/>
        <w:t xml:space="preserve">Sensitivity to bandwidth selection is another common specification test used in RD analysis. Whereas overly narrow bandwidths might overestimate the significance of </w:t>
      </w:r>
      <w:r w:rsidRPr="004D51D9">
        <w:lastRenderedPageBreak/>
        <w:t xml:space="preserve">the variation observed at the discontinuity, too-wide </w:t>
      </w:r>
      <w:r w:rsidR="00C96266">
        <w:t xml:space="preserve">of </w:t>
      </w:r>
      <w:r w:rsidRPr="004D51D9">
        <w:t xml:space="preserve">a bandwidth might bias the results by including observations that </w:t>
      </w:r>
      <w:r w:rsidR="00DB1142">
        <w:t>are irrelevant to behaviour at</w:t>
      </w:r>
      <w:r w:rsidRPr="004D51D9">
        <w:t xml:space="preserve"> the </w:t>
      </w:r>
      <w:r w:rsidR="00DB1142">
        <w:t>discontinuity</w:t>
      </w:r>
      <w:r w:rsidRPr="004D51D9">
        <w:t>. Accordingly</w:t>
      </w:r>
      <w:r w:rsidR="00DB1142">
        <w:t>,</w:t>
      </w:r>
      <w:r w:rsidRPr="004D51D9">
        <w:t xml:space="preserve"> RD estimates that are robust to this somewhat-arbitrarily chosen parameter are much more credible than those that are heavily dependent upon it </w:t>
      </w:r>
      <w:r w:rsidRPr="004D51D9">
        <w:rPr>
          <w:rFonts w:eastAsia="Arial"/>
          <w:sz w:val="22"/>
          <w:szCs w:val="22"/>
        </w:rPr>
        <w:fldChar w:fldCharType="begin"/>
      </w:r>
      <w:r w:rsidRPr="004D51D9">
        <w:instrText xml:space="preserve"> ADDIN ZOTERO_ITEM CSL_CITATION {"citationID":"7raZytXx","properties":{"formattedCitation":"(Imbens &amp; Lemieux, 2008)","plainCitation":"(Imbens &amp; Lemieux, 2008)","noteIndex":0},"citationItems":[{"id":600,"uris":["http://zotero.org/users/3697207/items/ILZ2JRGM"],"uri":["http://zotero.org/users/3697207/items/ILZ2JRGM"],"itemData":{"id":600,"type":"article-journal","container-title":"Journal of econometrics","issue":"2","note":"publisher: Elsevier","page":"615–635","source":"Google Scholar","title":"Regression discontinuity designs: A guide to practice","title-short":"Regression discontinuity designs","volume":"142","author":[{"family":"Imbens","given":"Guido W."},{"family":"Lemieux","given":"Thomas"}],"issued":{"date-parts":[["2008"]]}}}],"schema":"https://github.com/citation-style-language/schema/raw/master/csl-citation.json"} </w:instrText>
      </w:r>
      <w:r w:rsidRPr="004D51D9">
        <w:rPr>
          <w:rFonts w:eastAsia="Arial"/>
          <w:sz w:val="22"/>
          <w:szCs w:val="22"/>
        </w:rPr>
        <w:fldChar w:fldCharType="separate"/>
      </w:r>
      <w:r w:rsidRPr="004D51D9">
        <w:t>(Imbens &amp; Lemieux, 2008)</w:t>
      </w:r>
      <w:r w:rsidRPr="004D51D9">
        <w:fldChar w:fldCharType="end"/>
      </w:r>
      <w:r w:rsidRPr="004D51D9">
        <w:t xml:space="preserve">. In Section 3 it was briefly mentioned that treatment effect estimates in this study were </w:t>
      </w:r>
      <w:r w:rsidR="008C2642">
        <w:t>not sensitive</w:t>
      </w:r>
      <w:r w:rsidRPr="004D51D9">
        <w:t xml:space="preserve"> to variation in bandwidth</w:t>
      </w:r>
      <w:r w:rsidR="008C2642">
        <w:t>.</w:t>
      </w:r>
    </w:p>
    <w:p w14:paraId="398853AC" w14:textId="3A61612C" w:rsidR="00F72EBB" w:rsidRPr="004D51D9" w:rsidRDefault="00F72EBB" w:rsidP="00F72EBB">
      <w:pPr>
        <w:ind w:firstLine="720"/>
      </w:pPr>
      <w:r w:rsidRPr="004D51D9">
        <w:t xml:space="preserve">In the context of an extremely contentious and highly visible policy like rent control, the importance of </w:t>
      </w:r>
      <w:r>
        <w:t xml:space="preserve">having a transparent identification strategy and easily interpreted experimental results </w:t>
      </w:r>
      <w:r w:rsidRPr="004D51D9">
        <w:t>cannot be overstated.</w:t>
      </w:r>
    </w:p>
    <w:p w14:paraId="2304280F" w14:textId="77777777" w:rsidR="00302396" w:rsidRPr="004D51D9" w:rsidRDefault="00302396" w:rsidP="00302396">
      <w:pPr>
        <w:pStyle w:val="Heading2"/>
        <w:rPr>
          <w:rFonts w:cs="Times New Roman"/>
        </w:rPr>
      </w:pPr>
      <w:r w:rsidRPr="004D51D9">
        <w:rPr>
          <w:rFonts w:cs="Times New Roman"/>
        </w:rPr>
        <w:t>Policy Implications (External Validity)</w:t>
      </w:r>
    </w:p>
    <w:p w14:paraId="32EF3A50" w14:textId="1E0A8338" w:rsidR="00C96266" w:rsidRDefault="00302396" w:rsidP="00302396">
      <w:pPr>
        <w:pStyle w:val="Paragraph"/>
      </w:pPr>
      <w:r w:rsidRPr="004D51D9">
        <w:t xml:space="preserve">To the best of this author’s knowledge, the findings presented in this paper constitute the first rigorous estimate of the causal effect of rent control on eviction rates in the peer-reviewed literature. </w:t>
      </w:r>
      <w:r w:rsidR="00C96266">
        <w:t>That being said</w:t>
      </w:r>
      <w:r w:rsidR="008C2642">
        <w:t>,</w:t>
      </w:r>
      <w:r w:rsidRPr="004D51D9">
        <w:t xml:space="preserve"> </w:t>
      </w:r>
      <w:r w:rsidR="00C96266">
        <w:t>it is important to understand the context in which these findings are most relevant.</w:t>
      </w:r>
    </w:p>
    <w:p w14:paraId="2B81E594" w14:textId="0950B15E" w:rsidR="00C96266" w:rsidRDefault="00C96266" w:rsidP="00C96266">
      <w:pPr>
        <w:pStyle w:val="Newparagraph"/>
      </w:pPr>
      <w:r>
        <w:t>T</w:t>
      </w:r>
      <w:r w:rsidR="00302396" w:rsidRPr="004D51D9">
        <w:t xml:space="preserve">he treatment effect estimated via RD is a </w:t>
      </w:r>
      <w:r w:rsidR="00302396" w:rsidRPr="004D51D9">
        <w:rPr>
          <w:i/>
        </w:rPr>
        <w:t>local</w:t>
      </w:r>
      <w:r w:rsidR="00302396" w:rsidRPr="004D51D9">
        <w:t xml:space="preserve"> average treatment effect (LATE), rather than the more general average treatment effect </w:t>
      </w:r>
      <w:r w:rsidR="008C2642">
        <w:t xml:space="preserve">(ATE) </w:t>
      </w:r>
      <w:r w:rsidR="00302396" w:rsidRPr="004D51D9">
        <w:t>associated with a</w:t>
      </w:r>
      <w:r w:rsidR="008C2642">
        <w:t xml:space="preserve"> true</w:t>
      </w:r>
      <w:r w:rsidR="00302396" w:rsidRPr="004D51D9">
        <w:t xml:space="preserve"> RCT design. In other words, the RD estimate is not guaranteed to be unbiased for observations outside of the subpopulation where the treatment effect is measured (</w:t>
      </w:r>
      <w:r w:rsidR="00302396" w:rsidRPr="004D51D9">
        <w:rPr>
          <w:i/>
          <w:iCs/>
        </w:rPr>
        <w:t>Y</w:t>
      </w:r>
      <w:r w:rsidR="00302396" w:rsidRPr="004D51D9">
        <w:rPr>
          <w:i/>
          <w:iCs/>
          <w:vertAlign w:val="subscript"/>
        </w:rPr>
        <w:t>i</w:t>
      </w:r>
      <w:r w:rsidR="00302396" w:rsidRPr="004D51D9">
        <w:rPr>
          <w:i/>
          <w:iCs/>
        </w:rPr>
        <w:t xml:space="preserve"> = c</w:t>
      </w:r>
      <w:r w:rsidR="00302396" w:rsidRPr="004D51D9">
        <w:t>). In the present study that means one must be careful in extending the validity of the model results to properties built in the 1920s, for example</w:t>
      </w:r>
      <w:r>
        <w:t xml:space="preserve">, which </w:t>
      </w:r>
      <w:r w:rsidR="00302396" w:rsidRPr="004D51D9">
        <w:t xml:space="preserve">depends on the degree to which a homogenous treatment effect can be assumed. </w:t>
      </w:r>
      <w:r>
        <w:t>However, g</w:t>
      </w:r>
      <w:r w:rsidR="00302396" w:rsidRPr="004D51D9">
        <w:t>iven the seemingly stochastic nature of the relationship between built-year and eviction rates</w:t>
      </w:r>
      <w:r>
        <w:t xml:space="preserve"> in this study</w:t>
      </w:r>
      <w:r w:rsidR="00302396" w:rsidRPr="004D51D9">
        <w:t xml:space="preserve">, </w:t>
      </w:r>
      <w:r w:rsidR="00DB1142">
        <w:t>this does not seem like an unreasonable</w:t>
      </w:r>
      <w:r w:rsidR="00DB1142" w:rsidRPr="004D51D9">
        <w:t xml:space="preserve"> assumption </w:t>
      </w:r>
      <w:r w:rsidR="00DB1142">
        <w:t>to make</w:t>
      </w:r>
      <w:r w:rsidR="00DB1142" w:rsidRPr="004D51D9">
        <w:t>.</w:t>
      </w:r>
    </w:p>
    <w:p w14:paraId="71817FA5" w14:textId="04973083" w:rsidR="00302396" w:rsidRPr="004D51D9" w:rsidRDefault="00302396" w:rsidP="00C96266">
      <w:pPr>
        <w:pStyle w:val="Newparagraph"/>
      </w:pPr>
      <w:r w:rsidRPr="004D51D9">
        <w:t xml:space="preserve">Additionally, recent research </w:t>
      </w:r>
      <w:r w:rsidR="00C96266">
        <w:t>indicates</w:t>
      </w:r>
      <w:r w:rsidRPr="004D51D9">
        <w:t xml:space="preserve"> that certain precautions can reduce the likelihood that RD estimates are biased, many of which -- including large sample sizes, </w:t>
      </w:r>
      <w:r w:rsidRPr="004D51D9">
        <w:lastRenderedPageBreak/>
        <w:t xml:space="preserve">the use of nonparametric tests and estimators, and careful bandwidth selection -- were implemented in this study </w:t>
      </w:r>
      <w:r w:rsidRPr="004D51D9">
        <w:rPr>
          <w:rFonts w:eastAsia="Arial"/>
          <w:sz w:val="22"/>
          <w:szCs w:val="22"/>
        </w:rPr>
        <w:fldChar w:fldCharType="begin"/>
      </w:r>
      <w:r w:rsidRPr="004D51D9">
        <w:instrText xml:space="preserve"> ADDIN ZOTERO_ITEM CSL_CITATION {"citationID":"iVo0fqZV","properties":{"formattedCitation":"(Chaplin et al., 2018; Gelman &amp; Imbens, 2019)","plainCitation":"(Chaplin et al., 2018; Gelman &amp; Imbens, 2019)","noteIndex":0},"citationItems":[{"id":607,"uris":["http://zotero.org/users/3697207/items/ZQRBGHPN"],"uri":["http://zotero.org/users/3697207/items/ZQRBGHPN"],"itemData":{"id":607,"type":"article-journal","container-title":"Journal of Policy Analysis and Management","issue":"2","note":"publisher: Wiley Online Library","page":"403–429","source":"Google Scholar","title":"The internal and external validity of the regression discontinuity design: A meta-analysis of 15 within-study comparisons","title-short":"The internal and external validity of the regression discontinuity design","volume":"37","author":[{"family":"Chaplin","given":"Duncan D."},{"family":"Cook","given":"Thomas D."},{"family":"Zurovac","given":"Jelena"},{"family":"Coopersmith","given":"Jared S."},{"family":"Finucane","given":"Mariel M."},{"family":"Vollmer","given":"Lauren N."},{"family":"Morris","given":"Rebecca E."}],"issued":{"date-parts":[["2018"]]}}},{"id":609,"uris":["http://zotero.org/users/3697207/items/9YWI4IRG"],"uri":["http://zotero.org/users/3697207/items/9YWI4IRG"],"itemData":{"id":609,"type":"article-journal","container-title":"Journal of Business &amp; Economic Statistics","issue":"3","note":"publisher: Taylor &amp; Francis","page":"447–456","source":"Google Scholar","title":"Why high-order polynomials should not be used in regression discontinuity designs","volume":"37","author":[{"family":"Gelman","given":"Andrew"},{"family":"Imbens","given":"Guido"}],"issued":{"date-parts":[["2019"]]}}}],"schema":"https://github.com/citation-style-language/schema/raw/master/csl-citation.json"} </w:instrText>
      </w:r>
      <w:r w:rsidRPr="004D51D9">
        <w:rPr>
          <w:rFonts w:eastAsia="Arial"/>
          <w:sz w:val="22"/>
          <w:szCs w:val="22"/>
        </w:rPr>
        <w:fldChar w:fldCharType="separate"/>
      </w:r>
      <w:r w:rsidRPr="004D51D9">
        <w:t>(Chaplin et al., 2018; Gelman &amp; Imbens, 2019)</w:t>
      </w:r>
      <w:r w:rsidRPr="004D51D9">
        <w:fldChar w:fldCharType="end"/>
      </w:r>
      <w:r w:rsidRPr="004D51D9">
        <w:t xml:space="preserve">. It is also worth noting that regardless of whether or not the results are relevant to </w:t>
      </w:r>
      <w:r w:rsidR="00C96266">
        <w:t xml:space="preserve">very old or very new buildings in </w:t>
      </w:r>
      <w:r w:rsidRPr="004D51D9">
        <w:t xml:space="preserve">San </w:t>
      </w:r>
      <w:r w:rsidR="00C96266">
        <w:t>Francisco</w:t>
      </w:r>
      <w:r w:rsidRPr="004D51D9">
        <w:t>, the</w:t>
      </w:r>
      <w:r w:rsidR="00C96266">
        <w:t xml:space="preserve"> estimated treatment effect is </w:t>
      </w:r>
      <w:r w:rsidRPr="004D51D9">
        <w:t xml:space="preserve">clearly only </w:t>
      </w:r>
      <w:r w:rsidR="00C96266">
        <w:t>valid</w:t>
      </w:r>
      <w:r w:rsidRPr="004D51D9">
        <w:t xml:space="preserve"> </w:t>
      </w:r>
      <w:r w:rsidR="00C96266">
        <w:t xml:space="preserve">for the city of </w:t>
      </w:r>
      <w:r w:rsidRPr="004D51D9">
        <w:t xml:space="preserve">San Francisco. </w:t>
      </w:r>
      <w:r w:rsidR="008C2642">
        <w:t xml:space="preserve">That being said, the </w:t>
      </w:r>
      <w:r w:rsidR="00C96266">
        <w:t xml:space="preserve">implications of these </w:t>
      </w:r>
      <w:r w:rsidR="008C2642">
        <w:t xml:space="preserve">findings are </w:t>
      </w:r>
      <w:r w:rsidR="00C96266">
        <w:t>highly</w:t>
      </w:r>
      <w:r w:rsidR="008C2642">
        <w:t xml:space="preserve"> relevant to current and future policy</w:t>
      </w:r>
      <w:r w:rsidR="00C96266">
        <w:t xml:space="preserve"> in San Francisco and beyond</w:t>
      </w:r>
      <w:r w:rsidR="008C2642">
        <w:t>.</w:t>
      </w:r>
    </w:p>
    <w:p w14:paraId="100ABFA0" w14:textId="56939A8E" w:rsidR="00302396" w:rsidRPr="004D51D9" w:rsidRDefault="008C2642" w:rsidP="00302396">
      <w:pPr>
        <w:ind w:firstLine="720"/>
      </w:pPr>
      <w:r>
        <w:t>I</w:t>
      </w:r>
      <w:r w:rsidR="00302396" w:rsidRPr="004D51D9">
        <w:t>n 2020 California voters had the chance to repeal the 1995 law restricting municipalities from enacting rent control on residential units constructed after February 1995.</w:t>
      </w:r>
      <w:r w:rsidR="00C96266" w:rsidRPr="00F16756">
        <w:rPr>
          <w:rStyle w:val="FootnoteReference"/>
        </w:rPr>
        <w:footnoteReference w:id="10"/>
      </w:r>
      <w:r w:rsidR="00302396" w:rsidRPr="004D51D9">
        <w:t xml:space="preserve"> </w:t>
      </w:r>
      <w:r w:rsidR="00C96266">
        <w:t>Had</w:t>
      </w:r>
      <w:r w:rsidR="00302396" w:rsidRPr="004D51D9">
        <w:t xml:space="preserve"> </w:t>
      </w:r>
      <w:r w:rsidR="00C96266">
        <w:t>it passed</w:t>
      </w:r>
      <w:r w:rsidR="00302396" w:rsidRPr="004D51D9">
        <w:t xml:space="preserve">, Proposition 21 would have been replaced </w:t>
      </w:r>
      <w:r w:rsidR="00C96266">
        <w:t xml:space="preserve">the 1995 restriction </w:t>
      </w:r>
      <w:r w:rsidR="00302396" w:rsidRPr="004D51D9">
        <w:t>with a rolling 15-year window</w:t>
      </w:r>
      <w:r w:rsidR="00C96266">
        <w:t>,</w:t>
      </w:r>
      <w:r w:rsidR="00302396" w:rsidRPr="004D51D9">
        <w:t xml:space="preserve"> </w:t>
      </w:r>
      <w:r w:rsidR="00C96266">
        <w:t>allowing</w:t>
      </w:r>
      <w:r w:rsidR="00302396" w:rsidRPr="004D51D9">
        <w:t xml:space="preserve"> San Francisco legislators to expand rent control eligibility to buildings built before 2006 by 2021, 2007 by 2022, and so on. Even though Prop 21 was ultimately rejected by voters, the pressure to expand rent control in California does not appear to be dissipating, as indicated most recently by the passage of AB 1482, the Tenant Protection Act of 2019</w:t>
      </w:r>
      <w:r w:rsidR="00C96266">
        <w:t>.</w:t>
      </w:r>
      <w:r w:rsidR="00302396" w:rsidRPr="00F16756">
        <w:rPr>
          <w:rStyle w:val="FootnoteReference"/>
        </w:rPr>
        <w:footnoteReference w:id="11"/>
      </w:r>
      <w:r w:rsidR="00302396" w:rsidRPr="004D51D9">
        <w:t xml:space="preserve"> If and when the time comes for San Francisco to reassess its rent control eligibility requirements, the results presented here will be directly applicable for both policymakers, residents, and property owners wishing to evaluate the impact of such a policy change. </w:t>
      </w:r>
    </w:p>
    <w:p w14:paraId="07661925" w14:textId="530EF5B7" w:rsidR="00302396" w:rsidRPr="004D51D9" w:rsidRDefault="008C2642" w:rsidP="00302396">
      <w:pPr>
        <w:pStyle w:val="Newparagraph"/>
      </w:pPr>
      <w:r>
        <w:t>Increased</w:t>
      </w:r>
      <w:r w:rsidR="00302396" w:rsidRPr="004D51D9">
        <w:t xml:space="preserve"> housing stability is one area in which experts </w:t>
      </w:r>
      <w:r>
        <w:t xml:space="preserve">typically </w:t>
      </w:r>
      <w:r w:rsidR="00302396" w:rsidRPr="004D51D9">
        <w:t xml:space="preserve">agree that </w:t>
      </w:r>
      <w:r>
        <w:t xml:space="preserve">rent control </w:t>
      </w:r>
      <w:r w:rsidR="00302396" w:rsidRPr="004D51D9">
        <w:t>offers real benefits</w:t>
      </w:r>
      <w:r>
        <w:t xml:space="preserve"> </w:t>
      </w:r>
      <w:r>
        <w:fldChar w:fldCharType="begin"/>
      </w:r>
      <w:r>
        <w:instrText xml:space="preserve"> ADDIN ZOTERO_ITEM CSL_CITATION {"citationID":"v9A6Ugbq","properties":{"formattedCitation":"(Diamond et al., 2019; Glaeser &amp; Luttmer, 2003)","plainCitation":"(Diamond et al., 2019; Glaeser &amp; Luttmer, 2003)","noteIndex":0},"citationItems":[{"id":538,"uris":["http://zotero.org/users/3697207/items/4G8H3BVA"],"uri":["http://zotero.org/users/3697207/items/4G8H3BVA"],"itemData":{"id":538,"type":"article-journal","source":"Google Scholar","title":"The Effects of Rent Control Expansion on Tenants, Landlords, and Inequality: Evidence from San Francisco","title-short":"The Effects of Rent Control Expansion on Tenants, Landlords, and Inequality","author":[{"family":"Diamond","given":"Rebecca"},{"family":"McQuade","given":"Tim"},{"family":"Qian","given":"Franklin"}],"issued":{"date-parts":[["2019"]]}}},{"id":574,"uris":["http://zotero.org/users/3697207/items/5RKT9DBA"],"uri":["http://zotero.org/users/3697207/items/5RKT9DBA"],"itemData":{"id":574,"type":"article-journal","container-title":"American Economic Review","issue":"4","page":"1027–1046","source":"Google Scholar","title":"The misallocation of housing under rent control","volume":"93","author":[{"family":"Glaeser","given":"Edward L."},{"family":"Luttmer","given":"Erzo FP"}],"issued":{"date-parts":[["2003"]]}}}],"schema":"https://github.com/citation-style-language/schema/raw/master/csl-citation.json"} </w:instrText>
      </w:r>
      <w:r>
        <w:fldChar w:fldCharType="separate"/>
      </w:r>
      <w:r>
        <w:rPr>
          <w:noProof/>
        </w:rPr>
        <w:t>(Diamond et al., 2019; Glaeser &amp; Luttmer, 2003)</w:t>
      </w:r>
      <w:r>
        <w:fldChar w:fldCharType="end"/>
      </w:r>
      <w:r w:rsidR="00302396" w:rsidRPr="004D51D9">
        <w:t>.</w:t>
      </w:r>
      <w:r>
        <w:t xml:space="preserve"> In fact,</w:t>
      </w:r>
      <w:r w:rsidR="00302396" w:rsidRPr="004D51D9">
        <w:t xml:space="preserve"> </w:t>
      </w:r>
      <w:r>
        <w:t>a</w:t>
      </w:r>
      <w:r w:rsidR="00302396" w:rsidRPr="004D51D9">
        <w:t xml:space="preserve"> recent review of the rent control literature published by the USC Equity Research Institute</w:t>
      </w:r>
      <w:r w:rsidR="00DB1142">
        <w:t xml:space="preserve"> (ERI)</w:t>
      </w:r>
      <w:r w:rsidR="00302396" w:rsidRPr="004D51D9">
        <w:t xml:space="preserve"> found that “nearly every academic study finds that rent stabilization [...] increases housing stability for rent-stabilized residents” </w:t>
      </w:r>
      <w:r w:rsidR="00302396" w:rsidRPr="004D51D9">
        <w:rPr>
          <w:rFonts w:eastAsia="Arial"/>
          <w:sz w:val="22"/>
          <w:szCs w:val="22"/>
        </w:rPr>
        <w:fldChar w:fldCharType="begin"/>
      </w:r>
      <w:r>
        <w:instrText xml:space="preserve"> ADDIN ZOTERO_ITEM CSL_CITATION {"citationID":"JpOCQK9X","properties":{"formattedCitation":"(Pastor et al., 2018)","plainCitation":"(Pastor et al., 2018)","noteIndex":0},"citationItems":[{"id":536,"uris":["http://zotero.org/users/3697207/items/QNM5YG64"],"uri":["http://zotero.org/users/3697207/items/QNM5YG64"],"itemData":{"id":536,"type":"article-journal","container-title":"Los Angeles: USC Dornsife Program for Environmental and Regional Equity","source":"Google Scholar","title":"Rent Matters: What are the Impacts of Rent Stabilization Measures?","title-short":"Rent Matters","author":[{"family":"Pastor","given":"Manuel"},{"family":"Carter","given":"Vanessa"},{"family":"Abood","given":"Maya"}],"issued":{"date-parts":[["2018"]]}}}],"schema":"https://github.com/citation-style-language/schema/raw/master/csl-citation.json"} </w:instrText>
      </w:r>
      <w:r w:rsidR="00302396" w:rsidRPr="004D51D9">
        <w:rPr>
          <w:rFonts w:eastAsia="Arial"/>
          <w:sz w:val="22"/>
          <w:szCs w:val="22"/>
        </w:rPr>
        <w:fldChar w:fldCharType="separate"/>
      </w:r>
      <w:r>
        <w:t>(Pastor et al., 2018)</w:t>
      </w:r>
      <w:r w:rsidR="00302396" w:rsidRPr="004D51D9">
        <w:fldChar w:fldCharType="end"/>
      </w:r>
      <w:r w:rsidR="00302396" w:rsidRPr="004D51D9">
        <w:t xml:space="preserve">. </w:t>
      </w:r>
      <w:r w:rsidR="00951270">
        <w:t xml:space="preserve">However, the findings presented here show that the effects of rent control on housing stability are </w:t>
      </w:r>
      <w:r w:rsidR="00951270">
        <w:lastRenderedPageBreak/>
        <w:t xml:space="preserve">more heterogenous than the current academic literature suggests. </w:t>
      </w:r>
      <w:r w:rsidR="0075079F">
        <w:t>While t</w:t>
      </w:r>
      <w:r w:rsidR="00F72EBB">
        <w:t xml:space="preserve">he </w:t>
      </w:r>
      <w:r w:rsidR="00DB1142">
        <w:t>ERI</w:t>
      </w:r>
      <w:r w:rsidR="00F72EBB">
        <w:t xml:space="preserve"> review </w:t>
      </w:r>
      <w:r w:rsidR="00C96266">
        <w:t>offers strong evidence in favour of re-evaluating</w:t>
      </w:r>
      <w:r w:rsidR="005E477A">
        <w:t xml:space="preserve"> rent control as</w:t>
      </w:r>
      <w:r w:rsidR="00631024">
        <w:t xml:space="preserve"> </w:t>
      </w:r>
      <w:r w:rsidR="005E477A">
        <w:t>an anti-</w:t>
      </w:r>
      <w:r w:rsidR="005E477A" w:rsidRPr="00DB1142">
        <w:rPr>
          <w:i/>
          <w:iCs/>
        </w:rPr>
        <w:t>displacement</w:t>
      </w:r>
      <w:r w:rsidR="005E477A">
        <w:t xml:space="preserve"> measure</w:t>
      </w:r>
      <w:r w:rsidR="00F72EBB">
        <w:t xml:space="preserve"> rather</w:t>
      </w:r>
      <w:r w:rsidR="005E477A">
        <w:t xml:space="preserve"> than anti-gentrification,</w:t>
      </w:r>
      <w:r w:rsidR="00951270">
        <w:t xml:space="preserve"> the reality is that even under this more </w:t>
      </w:r>
      <w:r w:rsidR="00F72EBB">
        <w:t>appropriately</w:t>
      </w:r>
      <w:r w:rsidR="00951270">
        <w:t xml:space="preserve"> defined rubric its effectiveness i</w:t>
      </w:r>
      <w:r w:rsidR="00C96266">
        <w:t>n San Francisco i</w:t>
      </w:r>
      <w:r w:rsidR="00951270">
        <w:t>s unclear.</w:t>
      </w:r>
    </w:p>
    <w:p w14:paraId="3B5E5250" w14:textId="77777777" w:rsidR="00DB1142" w:rsidRDefault="00302396" w:rsidP="00DB1142">
      <w:r w:rsidRPr="004D51D9">
        <w:tab/>
      </w:r>
      <w:r w:rsidR="00DB1142">
        <w:t>As we have seen,</w:t>
      </w:r>
      <w:r w:rsidR="00C96266">
        <w:t xml:space="preserve"> Diamond et al.</w:t>
      </w:r>
      <w:r w:rsidR="008A7146">
        <w:t xml:space="preserve"> </w:t>
      </w:r>
      <w:r w:rsidRPr="004D51D9">
        <w:rPr>
          <w:rFonts w:eastAsia="Arial"/>
          <w:sz w:val="22"/>
          <w:szCs w:val="22"/>
        </w:rPr>
        <w:fldChar w:fldCharType="begin"/>
      </w:r>
      <w:r w:rsidR="00C96266">
        <w:instrText xml:space="preserve"> ADDIN ZOTERO_ITEM CSL_CITATION {"citationID":"C6B3O2m5","properties":{"formattedCitation":"(2019)","plainCitation":"(2019)","noteIndex":0},"citationItems":[{"id":538,"uris":["http://zotero.org/users/3697207/items/4G8H3BVA"],"uri":["http://zotero.org/users/3697207/items/4G8H3BVA"],"itemData":{"id":538,"type":"article-journal","source":"Google Scholar","title":"The Effects of Rent Control Expansion on Tenants, Landlords, and Inequality: Evidence from San Francisco","title-short":"The Effects of Rent Control Expansion on Tenants, Landlords, and Inequality","author":[{"family":"Diamond","given":"Rebecca"},{"family":"McQuade","given":"Tim"},{"family":"Qian","given":"Franklin"}],"issued":{"date-parts":[["2019"]]}},"suppress-author":true}],"schema":"https://github.com/citation-style-language/schema/raw/master/csl-citation.json"} </w:instrText>
      </w:r>
      <w:r w:rsidRPr="004D51D9">
        <w:rPr>
          <w:rFonts w:eastAsia="Arial"/>
          <w:sz w:val="22"/>
          <w:szCs w:val="22"/>
        </w:rPr>
        <w:fldChar w:fldCharType="separate"/>
      </w:r>
      <w:r w:rsidR="00C96266">
        <w:t>(2019)</w:t>
      </w:r>
      <w:r w:rsidRPr="004D51D9">
        <w:fldChar w:fldCharType="end"/>
      </w:r>
      <w:r w:rsidRPr="004D51D9">
        <w:t xml:space="preserve"> </w:t>
      </w:r>
      <w:r w:rsidR="0075079F">
        <w:t xml:space="preserve">were able to estimate </w:t>
      </w:r>
      <w:r w:rsidRPr="004D51D9">
        <w:t xml:space="preserve">a net benefit of $393 million per year for </w:t>
      </w:r>
      <w:r w:rsidR="0075079F">
        <w:t xml:space="preserve">incumbent </w:t>
      </w:r>
      <w:r w:rsidRPr="004D51D9">
        <w:t>rent controlled tenants</w:t>
      </w:r>
      <w:r w:rsidR="00C96266">
        <w:t xml:space="preserve"> in San Francisco</w:t>
      </w:r>
      <w:r w:rsidR="00D542D4">
        <w:t xml:space="preserve">, </w:t>
      </w:r>
      <w:r w:rsidR="00DB1142">
        <w:t>but failed to account</w:t>
      </w:r>
      <w:r w:rsidR="00D542D4">
        <w:t xml:space="preserve"> for the cost of rent control-induced evictions.</w:t>
      </w:r>
      <w:r w:rsidR="0075079F">
        <w:t xml:space="preserve"> </w:t>
      </w:r>
      <w:r w:rsidR="00DB1142">
        <w:t>And while i</w:t>
      </w:r>
      <w:r w:rsidR="00D542D4">
        <w:t xml:space="preserve">t may seem unlikely that </w:t>
      </w:r>
      <w:r w:rsidR="0075079F">
        <w:t xml:space="preserve">a </w:t>
      </w:r>
      <w:r w:rsidR="00C96266">
        <w:t>1-2</w:t>
      </w:r>
      <w:r w:rsidR="0075079F">
        <w:t xml:space="preserve">% increase in the rate of evictions </w:t>
      </w:r>
      <w:r w:rsidR="00D542D4">
        <w:t xml:space="preserve">would </w:t>
      </w:r>
      <w:r w:rsidR="001C4E64">
        <w:t xml:space="preserve">do much to </w:t>
      </w:r>
      <w:r w:rsidR="00D542D4">
        <w:t xml:space="preserve">offset </w:t>
      </w:r>
      <w:r w:rsidR="00DB1142">
        <w:t>such a large benefit</w:t>
      </w:r>
      <w:r w:rsidR="001C4E64">
        <w:t xml:space="preserve">, </w:t>
      </w:r>
      <w:r w:rsidR="00DB1142">
        <w:t>the</w:t>
      </w:r>
      <w:r w:rsidR="008A7146">
        <w:t xml:space="preserve"> severity of </w:t>
      </w:r>
      <w:r w:rsidR="001C4E64">
        <w:t xml:space="preserve">the </w:t>
      </w:r>
      <w:r w:rsidR="008A7146">
        <w:t xml:space="preserve">impact </w:t>
      </w:r>
      <w:r w:rsidR="001C4E64">
        <w:t xml:space="preserve">of an eviction </w:t>
      </w:r>
      <w:r w:rsidR="008A7146">
        <w:t xml:space="preserve">must not be underestimated. </w:t>
      </w:r>
      <w:r w:rsidRPr="004D51D9">
        <w:t>Recent data from the City of San Francisco itself suggests that eviction is the third-leading cause of homelessness there, representing 13% of survey respondents (n=1,039), up from just 4% in 2011</w:t>
      </w:r>
      <w:r w:rsidR="00C96266">
        <w:t xml:space="preserve"> </w:t>
      </w:r>
      <w:r w:rsidR="00C96266">
        <w:fldChar w:fldCharType="begin"/>
      </w:r>
      <w:r w:rsidR="00C96266">
        <w:instrText xml:space="preserve"> ADDIN ZOTERO_ITEM CSL_CITATION {"citationID":"TLZm78h5","properties":{"formattedCitation":"(Applied Survey Research, 2019)","plainCitation":"(Applied Survey Research, 2019)","noteIndex":0},"citationItems":[{"id":640,"uris":["http://zotero.org/users/3697207/items/YTJ2LLRZ"],"uri":["http://zotero.org/users/3697207/items/YTJ2LLRZ"],"itemData":{"id":640,"type":"report","collection-title":"San Francisco Homeless Point-in-Time Count &amp; Survey","publisher":"San Francisco Department of Homelessness and Supportive Housing","title":"San Francisco Homeless Count &amp; Survey","URL":"https://hsh.sfgov.org/wp-content/uploads/2020/01/2019HIRDReport_SanFrancisco_FinalDraft-1.pdf","author":[{"literal":"Applied Survey Research"}],"accessed":{"date-parts":[["2021",7,1]]},"issued":{"date-parts":[["2019"]]}}}],"schema":"https://github.com/citation-style-language/schema/raw/master/csl-citation.json"} </w:instrText>
      </w:r>
      <w:r w:rsidR="00C96266">
        <w:fldChar w:fldCharType="separate"/>
      </w:r>
      <w:r w:rsidR="00C96266">
        <w:rPr>
          <w:noProof/>
        </w:rPr>
        <w:t>(Applied Survey Research, 2019)</w:t>
      </w:r>
      <w:r w:rsidR="00C96266">
        <w:fldChar w:fldCharType="end"/>
      </w:r>
      <w:r w:rsidRPr="004D51D9">
        <w:t xml:space="preserve">. </w:t>
      </w:r>
      <w:r w:rsidR="00DB1142">
        <w:t>Additionally, r</w:t>
      </w:r>
      <w:r w:rsidR="008A7146">
        <w:t>ecent</w:t>
      </w:r>
      <w:r w:rsidRPr="004D51D9">
        <w:t xml:space="preserve"> work by Desmond and others has demonstrated the deleterious, sometimes trans-generational effects of eviction on health outcomes, homelessness, and job retention </w:t>
      </w:r>
      <w:r w:rsidRPr="004D51D9">
        <w:rPr>
          <w:rFonts w:eastAsia="Arial"/>
          <w:sz w:val="22"/>
          <w:szCs w:val="22"/>
        </w:rPr>
        <w:fldChar w:fldCharType="begin"/>
      </w:r>
      <w:r w:rsidRPr="004D51D9">
        <w:instrText xml:space="preserve"> ADDIN ZOTERO_ITEM CSL_CITATION {"citationID":"rDS6zen8","properties":{"formattedCitation":"(Desmond, 2012; Desmond &amp; Gershenson, 2016; Desmond &amp; Kimbro, 2015)","plainCitation":"(Desmond, 2012; Desmond &amp; Gershenson, 2016; Desmond &amp; Kimbro, 2015)","noteIndex":0},"citationItems":[{"id":485,"uris":["http://zotero.org/users/3697207/items/YKDSEFYZ"],"uri":["http://zotero.org/users/3697207/items/YKDSEFYZ"],"itemData":{"id":485,"type":"article-journal","container-title":"American journal of sociology","issue":"1","page":"88–133","source":"Google Scholar","title":"Eviction and the reproduction of urban poverty","volume":"118","author":[{"family":"Desmond","given":"Matthew"}],"issued":{"date-parts":[["2012"]]}}},{"id":619,"uris":["http://zotero.org/users/3697207/items/7RS8HYMY"],"uri":["http://zotero.org/users/3697207/items/7RS8HYMY"],"itemData":{"id":619,"type":"article-journal","container-title":"Social Problems","issue":"1","note":"publisher: Oxford University Press","page":"46–67","source":"Google Scholar","title":"Housing and employment insecurity among the working poor","volume":"63","author":[{"family":"Desmond","given":"Matthew"},{"family":"Gershenson","given":"Carl"}],"issued":{"date-parts":[["2016"]]}}},{"id":615,"uris":["http://zotero.org/users/3697207/items/PKCPEHFS"],"uri":["http://zotero.org/users/3697207/items/PKCPEHFS"],"itemData":{"id":615,"type":"article-journal","container-title":"Social forces","issue":"1","note":"publisher: Oxford University Press","page":"295–324","source":"Google Scholar","title":"Eviction's fallout: housing, hardship, and health","title-short":"Eviction's fallout","volume":"94","author":[{"family":"Desmond","given":"Matthew"},{"family":"Kimbro","given":"Rachel Tolbert"}],"issued":{"date-parts":[["2015"]]}}}],"schema":"https://github.com/citation-style-language/schema/raw/master/csl-citation.json"} </w:instrText>
      </w:r>
      <w:r w:rsidRPr="004D51D9">
        <w:rPr>
          <w:rFonts w:eastAsia="Arial"/>
          <w:sz w:val="22"/>
          <w:szCs w:val="22"/>
        </w:rPr>
        <w:fldChar w:fldCharType="separate"/>
      </w:r>
      <w:r w:rsidRPr="004D51D9">
        <w:t>(Desmond, 2012; Desmond &amp; Gershenson, 2016; Desmond &amp; Kimbro, 2015)</w:t>
      </w:r>
      <w:r w:rsidRPr="004D51D9">
        <w:fldChar w:fldCharType="end"/>
      </w:r>
      <w:r w:rsidRPr="004D51D9">
        <w:t xml:space="preserve">. </w:t>
      </w:r>
      <w:r w:rsidR="00DB1142">
        <w:t>Long term effects like these make it a very difficult and fraught task to estimate the true cost of rent control-induced eviction to rent controlled tenants.</w:t>
      </w:r>
    </w:p>
    <w:p w14:paraId="6CBD03D9" w14:textId="7150AD5E" w:rsidR="00E860EC" w:rsidRDefault="00C21248" w:rsidP="00C96266">
      <w:r>
        <w:tab/>
      </w:r>
      <w:r w:rsidR="00DB1142">
        <w:t xml:space="preserve">Whatever those costs may be, it would be a mistake to interpret them as a failure that is inherent to Rent Control as a policy. Rather the causal effect of rent control on eviction rates as measured in this study represents a failure of San Francisco’s Rent Ordinance to adequately protect tenants from the incentive to evict that exists under vacancy decontrol. Fortunately, a solution to this problem exists that does not require abolishing vacancy decontrol, a move that would almost certainly be politically unfeasible. Instead, the city must enact stronger eviction protections for rent controlled tenants. For example, eviction could be treated as a disqualifying event, preventing a </w:t>
      </w:r>
      <w:r w:rsidR="00DB1142">
        <w:lastRenderedPageBreak/>
        <w:t>property owner from taking advantage of vacancy decontrol at the start of their next lease. San Francisco policymakers have the ability to close these eviction-based rent control loopholes, and have previously made strides in this direction with respect to No-fault evictions in particular</w:t>
      </w:r>
      <w:r w:rsidR="00C96266">
        <w:t xml:space="preserve"> </w:t>
      </w:r>
      <w:r w:rsidR="00C96266">
        <w:fldChar w:fldCharType="begin"/>
      </w:r>
      <w:r w:rsidR="00C96266">
        <w:instrText xml:space="preserve"> ADDIN ZOTERO_ITEM CSL_CITATION {"citationID":"uliyBD2h","properties":{"formattedCitation":"(Riley, 2013)","plainCitation":"(Riley, 2013)","noteIndex":0},"citationItems":[{"id":641,"uris":["http://zotero.org/users/3697207/items/GLG7BW7A"],"uri":["http://zotero.org/users/3697207/items/GLG7BW7A"],"itemData":{"id":641,"type":"webpage","abstract":"Thousands of San Franciscans could become first-time homeowners while also contributing an...","container-title":"SFGATE","language":"en-US","note":"section: Bay Area &amp; State","title":"Condo conversion law OKd by S.F. board","URL":"https://www.sfgate.com/bayarea/article/Condo-conversion-law-OKd-by-S-F-board-4594985.php","author":[{"family":"Riley","given":"Neal J."}],"accessed":{"date-parts":[["2021",7,1]]},"issued":{"date-parts":[["2013",6,12]]}}}],"schema":"https://github.com/citation-style-language/schema/raw/master/csl-citation.json"} </w:instrText>
      </w:r>
      <w:r w:rsidR="00C96266">
        <w:fldChar w:fldCharType="separate"/>
      </w:r>
      <w:r w:rsidR="00C96266">
        <w:rPr>
          <w:noProof/>
        </w:rPr>
        <w:t>(Riley, 2013)</w:t>
      </w:r>
      <w:r w:rsidR="00C96266">
        <w:fldChar w:fldCharType="end"/>
      </w:r>
      <w:r w:rsidR="00C96266">
        <w:t xml:space="preserve">. </w:t>
      </w:r>
      <w:r w:rsidR="00302396" w:rsidRPr="004D51D9">
        <w:t xml:space="preserve">With local and state-wide COVID-19 eviction moratoriums </w:t>
      </w:r>
      <w:r w:rsidR="00DB1142">
        <w:t>expiring soon</w:t>
      </w:r>
      <w:r w:rsidR="00302396" w:rsidRPr="004D51D9">
        <w:t xml:space="preserve">, it is </w:t>
      </w:r>
      <w:r w:rsidR="0034432E">
        <w:t xml:space="preserve">now </w:t>
      </w:r>
      <w:r w:rsidR="00302396" w:rsidRPr="004D51D9">
        <w:t xml:space="preserve">more important than ever that </w:t>
      </w:r>
      <w:r w:rsidR="00C96266">
        <w:t>City officials</w:t>
      </w:r>
      <w:r w:rsidR="00E860EC">
        <w:t xml:space="preserve"> </w:t>
      </w:r>
      <w:r w:rsidR="00302396" w:rsidRPr="004D51D9">
        <w:t xml:space="preserve">re-examine the role </w:t>
      </w:r>
      <w:r w:rsidR="00C96266">
        <w:t xml:space="preserve">that </w:t>
      </w:r>
      <w:r w:rsidR="00302396" w:rsidRPr="004D51D9">
        <w:t xml:space="preserve">evictions play in undermining </w:t>
      </w:r>
      <w:r w:rsidR="00C96266">
        <w:t xml:space="preserve">the success of </w:t>
      </w:r>
      <w:r w:rsidR="00302396" w:rsidRPr="004D51D9">
        <w:t xml:space="preserve">rent </w:t>
      </w:r>
      <w:r w:rsidR="00C96266">
        <w:t>stabilization</w:t>
      </w:r>
      <w:r w:rsidR="00302396" w:rsidRPr="004D51D9">
        <w:t>.</w:t>
      </w:r>
    </w:p>
    <w:p w14:paraId="10021A5C" w14:textId="77777777" w:rsidR="00C37066" w:rsidRDefault="00C37066" w:rsidP="00FB4A97">
      <w:pPr>
        <w:pStyle w:val="Heading1"/>
      </w:pPr>
      <w:r>
        <w:br w:type="page"/>
      </w:r>
    </w:p>
    <w:p w14:paraId="23B96870" w14:textId="0442C166" w:rsidR="00FB4A97" w:rsidRDefault="00FB4A97" w:rsidP="00FB4A97">
      <w:pPr>
        <w:pStyle w:val="Heading1"/>
      </w:pPr>
      <w:r>
        <w:lastRenderedPageBreak/>
        <w:t>Acknowledgements</w:t>
      </w:r>
    </w:p>
    <w:p w14:paraId="1AE85147" w14:textId="222DEEFF" w:rsidR="00FB4A97" w:rsidRPr="00FB4A97" w:rsidRDefault="00FB4A97" w:rsidP="00FB4A97">
      <w:pPr>
        <w:pStyle w:val="Paragraph"/>
      </w:pPr>
      <w:r>
        <w:t>I would like to thank Professors Paul Waddell and Carolina Reid, as well as Timothy Thomas</w:t>
      </w:r>
      <w:r w:rsidR="00EB53B1">
        <w:t>,</w:t>
      </w:r>
      <w:r>
        <w:t xml:space="preserve"> Ph.D. for </w:t>
      </w:r>
      <w:r w:rsidR="00C96266">
        <w:t>their guidance and encouragement</w:t>
      </w:r>
      <w:r>
        <w:t>, a</w:t>
      </w:r>
      <w:r w:rsidR="00C96266">
        <w:t>s well as</w:t>
      </w:r>
      <w:r>
        <w:t xml:space="preserve"> E</w:t>
      </w:r>
      <w:r w:rsidR="00C96266">
        <w:t xml:space="preserve">rin McElroy and Dan </w:t>
      </w:r>
      <w:proofErr w:type="spellStart"/>
      <w:r w:rsidR="00C96266">
        <w:t>Sakaguchi</w:t>
      </w:r>
      <w:proofErr w:type="spellEnd"/>
      <w:r w:rsidR="00C96266">
        <w:t xml:space="preserve"> </w:t>
      </w:r>
      <w:r w:rsidR="00EB53B1">
        <w:t>at AEMP for their help assembling the eviction notification data.</w:t>
      </w:r>
    </w:p>
    <w:p w14:paraId="5D82DA4C" w14:textId="77777777" w:rsidR="00FB4A97" w:rsidRDefault="00FB4A97" w:rsidP="00302396">
      <w:pPr>
        <w:ind w:firstLine="720"/>
      </w:pPr>
    </w:p>
    <w:p w14:paraId="7FFD76B6" w14:textId="77777777" w:rsidR="00EB53B1" w:rsidRDefault="00EB53B1" w:rsidP="00EB53B1">
      <w:pPr>
        <w:spacing w:line="240" w:lineRule="auto"/>
        <w:rPr>
          <w:b/>
          <w:bCs/>
          <w:lang w:val="en-US" w:eastAsia="en-US"/>
        </w:rPr>
      </w:pPr>
      <w:r>
        <w:rPr>
          <w:b/>
          <w:bCs/>
          <w:lang w:val="en-US" w:eastAsia="en-US"/>
        </w:rPr>
        <w:t>D</w:t>
      </w:r>
      <w:r w:rsidRPr="00EB53B1">
        <w:rPr>
          <w:b/>
          <w:bCs/>
          <w:lang w:val="en-US" w:eastAsia="en-US"/>
        </w:rPr>
        <w:t xml:space="preserve">eclaration of </w:t>
      </w:r>
      <w:r>
        <w:rPr>
          <w:b/>
          <w:bCs/>
          <w:lang w:val="en-US" w:eastAsia="en-US"/>
        </w:rPr>
        <w:t>I</w:t>
      </w:r>
      <w:r w:rsidRPr="00EB53B1">
        <w:rPr>
          <w:b/>
          <w:bCs/>
          <w:lang w:val="en-US" w:eastAsia="en-US"/>
        </w:rPr>
        <w:t xml:space="preserve">nterest </w:t>
      </w:r>
      <w:r>
        <w:rPr>
          <w:b/>
          <w:bCs/>
          <w:lang w:val="en-US" w:eastAsia="en-US"/>
        </w:rPr>
        <w:t>S</w:t>
      </w:r>
      <w:r w:rsidRPr="00EB53B1">
        <w:rPr>
          <w:b/>
          <w:bCs/>
          <w:lang w:val="en-US" w:eastAsia="en-US"/>
        </w:rPr>
        <w:t>tatement</w:t>
      </w:r>
    </w:p>
    <w:p w14:paraId="39C033E8" w14:textId="77777777" w:rsidR="00EB53B1" w:rsidRPr="00EB53B1" w:rsidRDefault="00EB53B1" w:rsidP="00EB53B1">
      <w:pPr>
        <w:pStyle w:val="Paragraph"/>
        <w:rPr>
          <w:lang w:val="en-US" w:eastAsia="en-US"/>
        </w:rPr>
      </w:pPr>
      <w:r>
        <w:rPr>
          <w:lang w:val="en-US" w:eastAsia="en-US"/>
        </w:rPr>
        <w:t>T</w:t>
      </w:r>
      <w:r w:rsidRPr="00EB53B1">
        <w:rPr>
          <w:lang w:val="en-US" w:eastAsia="en-US"/>
        </w:rPr>
        <w:t>here are no relevant financial or non-financial competing interests to report.</w:t>
      </w:r>
    </w:p>
    <w:p w14:paraId="1D9414A3" w14:textId="77777777" w:rsidR="00EB53B1" w:rsidRPr="00EB53B1" w:rsidRDefault="00EB53B1" w:rsidP="00EB53B1">
      <w:pPr>
        <w:spacing w:line="240" w:lineRule="auto"/>
        <w:rPr>
          <w:b/>
          <w:bCs/>
          <w:lang w:val="en-US" w:eastAsia="en-US"/>
        </w:rPr>
      </w:pPr>
    </w:p>
    <w:p w14:paraId="54E88462" w14:textId="77777777" w:rsidR="00FB4A97" w:rsidRPr="00EB53B1" w:rsidRDefault="00FB4A97" w:rsidP="00EB53B1">
      <w:pPr>
        <w:pStyle w:val="Heading1"/>
      </w:pPr>
    </w:p>
    <w:p w14:paraId="772B9544" w14:textId="77777777" w:rsidR="00FB4A97" w:rsidRDefault="00FB4A97" w:rsidP="00302396">
      <w:pPr>
        <w:ind w:firstLine="720"/>
      </w:pPr>
    </w:p>
    <w:p w14:paraId="5E0A4098" w14:textId="77777777" w:rsidR="00FB4A97" w:rsidRDefault="00FB4A97" w:rsidP="00302396">
      <w:pPr>
        <w:ind w:firstLine="720"/>
      </w:pPr>
    </w:p>
    <w:p w14:paraId="4A5D00D4" w14:textId="77777777" w:rsidR="00FB4A97" w:rsidRDefault="00FB4A97" w:rsidP="00302396">
      <w:pPr>
        <w:ind w:firstLine="720"/>
      </w:pPr>
    </w:p>
    <w:p w14:paraId="6CF59749" w14:textId="77777777" w:rsidR="00FB4A97" w:rsidRDefault="00FB4A97" w:rsidP="00302396">
      <w:pPr>
        <w:ind w:firstLine="720"/>
      </w:pPr>
    </w:p>
    <w:p w14:paraId="24B9B64B" w14:textId="77777777" w:rsidR="00FB4A97" w:rsidRDefault="00FB4A97" w:rsidP="00302396">
      <w:pPr>
        <w:ind w:firstLine="720"/>
      </w:pPr>
    </w:p>
    <w:p w14:paraId="03932EF2" w14:textId="77777777" w:rsidR="00FB4A97" w:rsidRDefault="00FB4A97" w:rsidP="00302396">
      <w:pPr>
        <w:ind w:firstLine="720"/>
      </w:pPr>
    </w:p>
    <w:p w14:paraId="77C5C87C" w14:textId="77777777" w:rsidR="00184890" w:rsidRDefault="00184890" w:rsidP="00FB4A97">
      <w:pPr>
        <w:pStyle w:val="Heading1"/>
      </w:pPr>
      <w:r>
        <w:br w:type="page"/>
      </w:r>
    </w:p>
    <w:p w14:paraId="09768E1E" w14:textId="125F9437" w:rsidR="00FB4A97" w:rsidRPr="00FB4A97" w:rsidRDefault="00FB4A97" w:rsidP="00FB4A97">
      <w:pPr>
        <w:pStyle w:val="Heading1"/>
      </w:pPr>
      <w:r>
        <w:lastRenderedPageBreak/>
        <w:t>References</w:t>
      </w:r>
    </w:p>
    <w:p w14:paraId="7E650A3C" w14:textId="77777777" w:rsidR="00C96266" w:rsidRPr="00C96266" w:rsidRDefault="00FB4A97" w:rsidP="000B12CD">
      <w:pPr>
        <w:pStyle w:val="References"/>
      </w:pPr>
      <w:r w:rsidRPr="00C0654B">
        <w:fldChar w:fldCharType="begin"/>
      </w:r>
      <w:r w:rsidR="00C0654B">
        <w:instrText xml:space="preserve"> ADDIN ZOTERO_BIBL {"uncited":[],"omitted":[],"custom":[]} CSL_BIBLIOGRAPHY </w:instrText>
      </w:r>
      <w:r w:rsidRPr="00C0654B">
        <w:fldChar w:fldCharType="separate"/>
      </w:r>
      <w:r w:rsidR="00C96266" w:rsidRPr="00C96266">
        <w:t xml:space="preserve">Ambrosius, J. D., Gilderbloom, J. I., Steele, W. J., Meares, W. L., &amp; Keating, D. (2015). Forty years of rent control: Reexamining New Jersey’s moderate local policies after the great recession. </w:t>
      </w:r>
      <w:r w:rsidR="00C96266" w:rsidRPr="00C96266">
        <w:rPr>
          <w:i/>
          <w:iCs/>
        </w:rPr>
        <w:t>Cities</w:t>
      </w:r>
      <w:r w:rsidR="00C96266" w:rsidRPr="00C96266">
        <w:t xml:space="preserve">, </w:t>
      </w:r>
      <w:r w:rsidR="00C96266" w:rsidRPr="00C96266">
        <w:rPr>
          <w:i/>
          <w:iCs/>
        </w:rPr>
        <w:t>49</w:t>
      </w:r>
      <w:r w:rsidR="00C96266" w:rsidRPr="00C96266">
        <w:t>, 121–133.</w:t>
      </w:r>
    </w:p>
    <w:p w14:paraId="05469C68" w14:textId="77777777" w:rsidR="00C96266" w:rsidRPr="00C96266" w:rsidRDefault="00C96266" w:rsidP="000B12CD">
      <w:pPr>
        <w:pStyle w:val="References"/>
      </w:pPr>
      <w:r w:rsidRPr="00C96266">
        <w:t xml:space="preserve">Applied Survey Research. (2019). </w:t>
      </w:r>
      <w:r w:rsidRPr="00C96266">
        <w:rPr>
          <w:i/>
          <w:iCs/>
        </w:rPr>
        <w:t>San Francisco Homeless Count &amp; Survey</w:t>
      </w:r>
      <w:r w:rsidRPr="00C96266">
        <w:t xml:space="preserve"> (San Francisco Homeless Point-in-Time Count &amp; Survey). San Francisco Department of Homelessness and Supportive Housing. https://hsh.sfgov.org/wp-content/uploads/2020/01/2019HIRDReport_SanFrancisco_FinalDraft-1.pdf</w:t>
      </w:r>
    </w:p>
    <w:p w14:paraId="00EAF7F5" w14:textId="77777777" w:rsidR="00C96266" w:rsidRPr="00C96266" w:rsidRDefault="00C96266" w:rsidP="000B12CD">
      <w:pPr>
        <w:pStyle w:val="References"/>
      </w:pPr>
      <w:r w:rsidRPr="00C96266">
        <w:t xml:space="preserve">Arnott, R. (1995). Time for revisionism on rent control? </w:t>
      </w:r>
      <w:r w:rsidRPr="00C96266">
        <w:rPr>
          <w:i/>
          <w:iCs/>
        </w:rPr>
        <w:t>Journal of Economic Perspectives</w:t>
      </w:r>
      <w:r w:rsidRPr="00C96266">
        <w:t xml:space="preserve">, </w:t>
      </w:r>
      <w:r w:rsidRPr="00C96266">
        <w:rPr>
          <w:i/>
          <w:iCs/>
        </w:rPr>
        <w:t>9</w:t>
      </w:r>
      <w:r w:rsidRPr="00C96266">
        <w:t>(1), 99–120.</w:t>
      </w:r>
    </w:p>
    <w:p w14:paraId="513731FE" w14:textId="77777777" w:rsidR="00C96266" w:rsidRPr="00C96266" w:rsidRDefault="00C96266" w:rsidP="000B12CD">
      <w:pPr>
        <w:pStyle w:val="References"/>
      </w:pPr>
      <w:r w:rsidRPr="00C96266">
        <w:t xml:space="preserve">Asquith, B. (2019). </w:t>
      </w:r>
      <w:r w:rsidRPr="00C96266">
        <w:rPr>
          <w:i/>
          <w:iCs/>
        </w:rPr>
        <w:t>Do Rent Increases Reduce the Housing Supply under Rent Control? Evidence from Evictions in San Francisco</w:t>
      </w:r>
      <w:r w:rsidRPr="00C96266">
        <w:t>.</w:t>
      </w:r>
    </w:p>
    <w:p w14:paraId="4D85BBC2" w14:textId="77777777" w:rsidR="00C96266" w:rsidRPr="00C96266" w:rsidRDefault="00C96266" w:rsidP="000B12CD">
      <w:pPr>
        <w:pStyle w:val="References"/>
      </w:pPr>
      <w:r w:rsidRPr="00C96266">
        <w:t xml:space="preserve">Autor, D. H., Palmer, C. J., &amp; Pathak, P. A. (2014). Housing market spillovers: Evidence from the end of rent control in Cambridge, Massachusetts. </w:t>
      </w:r>
      <w:r w:rsidRPr="00C96266">
        <w:rPr>
          <w:i/>
          <w:iCs/>
        </w:rPr>
        <w:t>Journal of Political Economy</w:t>
      </w:r>
      <w:r w:rsidRPr="00C96266">
        <w:t xml:space="preserve">, </w:t>
      </w:r>
      <w:r w:rsidRPr="00C96266">
        <w:rPr>
          <w:i/>
          <w:iCs/>
        </w:rPr>
        <w:t>122</w:t>
      </w:r>
      <w:r w:rsidRPr="00C96266">
        <w:t>(3), 661–717.</w:t>
      </w:r>
    </w:p>
    <w:p w14:paraId="1E80E8A8" w14:textId="77777777" w:rsidR="00C96266" w:rsidRPr="00C96266" w:rsidRDefault="00C96266" w:rsidP="000B12CD">
      <w:pPr>
        <w:pStyle w:val="References"/>
      </w:pPr>
      <w:r w:rsidRPr="00C96266">
        <w:t xml:space="preserve">Chaplin, D. D., Cook, T. D., Zurovac, J., Coopersmith, J. S., Finucane, M. M., Vollmer, L. N., &amp; Morris, R. E. (2018). The internal and external validity of the regression discontinuity design: A meta-analysis of 15 within-study comparisons. </w:t>
      </w:r>
      <w:r w:rsidRPr="00C96266">
        <w:rPr>
          <w:i/>
          <w:iCs/>
        </w:rPr>
        <w:t>Journal of Policy Analysis and Management</w:t>
      </w:r>
      <w:r w:rsidRPr="00C96266">
        <w:t xml:space="preserve">, </w:t>
      </w:r>
      <w:r w:rsidRPr="00C96266">
        <w:rPr>
          <w:i/>
          <w:iCs/>
        </w:rPr>
        <w:t>37</w:t>
      </w:r>
      <w:r w:rsidRPr="00C96266">
        <w:t>(2), 403–429.</w:t>
      </w:r>
    </w:p>
    <w:p w14:paraId="526A2D14" w14:textId="77777777" w:rsidR="00C96266" w:rsidRPr="00C96266" w:rsidRDefault="00C96266" w:rsidP="000B12CD">
      <w:pPr>
        <w:pStyle w:val="References"/>
      </w:pPr>
      <w:r w:rsidRPr="00C96266">
        <w:t xml:space="preserve">Desmond, M. (2012). Eviction and the reproduction of urban poverty. </w:t>
      </w:r>
      <w:r w:rsidRPr="00C96266">
        <w:rPr>
          <w:i/>
          <w:iCs/>
        </w:rPr>
        <w:t>American Journal of Sociology</w:t>
      </w:r>
      <w:r w:rsidRPr="00C96266">
        <w:t xml:space="preserve">, </w:t>
      </w:r>
      <w:r w:rsidRPr="00C96266">
        <w:rPr>
          <w:i/>
          <w:iCs/>
        </w:rPr>
        <w:t>118</w:t>
      </w:r>
      <w:r w:rsidRPr="00C96266">
        <w:t>(1), 88–133.</w:t>
      </w:r>
    </w:p>
    <w:p w14:paraId="4E502D02" w14:textId="77777777" w:rsidR="00C96266" w:rsidRPr="00C96266" w:rsidRDefault="00C96266" w:rsidP="000B12CD">
      <w:pPr>
        <w:pStyle w:val="References"/>
      </w:pPr>
      <w:r w:rsidRPr="00C96266">
        <w:t xml:space="preserve">Desmond, M., &amp; Gershenson, C. (2016). Housing and employment insecurity among the working poor. </w:t>
      </w:r>
      <w:r w:rsidRPr="00C96266">
        <w:rPr>
          <w:i/>
          <w:iCs/>
        </w:rPr>
        <w:t>Social Problems</w:t>
      </w:r>
      <w:r w:rsidRPr="00C96266">
        <w:t xml:space="preserve">, </w:t>
      </w:r>
      <w:r w:rsidRPr="00C96266">
        <w:rPr>
          <w:i/>
          <w:iCs/>
        </w:rPr>
        <w:t>63</w:t>
      </w:r>
      <w:r w:rsidRPr="00C96266">
        <w:t>(1), 46–67.</w:t>
      </w:r>
    </w:p>
    <w:p w14:paraId="74DB9046" w14:textId="77777777" w:rsidR="00C96266" w:rsidRPr="00C96266" w:rsidRDefault="00C96266" w:rsidP="000B12CD">
      <w:pPr>
        <w:pStyle w:val="References"/>
      </w:pPr>
      <w:r w:rsidRPr="00C96266">
        <w:t xml:space="preserve">Desmond, M., &amp; Kimbro, R. T. (2015). Eviction’s fallout: Housing, hardship, and health. </w:t>
      </w:r>
      <w:r w:rsidRPr="00C96266">
        <w:rPr>
          <w:i/>
          <w:iCs/>
        </w:rPr>
        <w:t>Social Forces</w:t>
      </w:r>
      <w:r w:rsidRPr="00C96266">
        <w:t xml:space="preserve">, </w:t>
      </w:r>
      <w:r w:rsidRPr="00C96266">
        <w:rPr>
          <w:i/>
          <w:iCs/>
        </w:rPr>
        <w:t>94</w:t>
      </w:r>
      <w:r w:rsidRPr="00C96266">
        <w:t>(1), 295–324.</w:t>
      </w:r>
    </w:p>
    <w:p w14:paraId="263AB283" w14:textId="77777777" w:rsidR="00C96266" w:rsidRPr="00C96266" w:rsidRDefault="00C96266" w:rsidP="000B12CD">
      <w:pPr>
        <w:pStyle w:val="References"/>
      </w:pPr>
      <w:r w:rsidRPr="00C96266">
        <w:t xml:space="preserve">Diamond, R., McQuade, T., &amp; Qian, F. (2019). </w:t>
      </w:r>
      <w:r w:rsidRPr="00C96266">
        <w:rPr>
          <w:i/>
          <w:iCs/>
        </w:rPr>
        <w:t>The Effects of Rent Control Expansion on Tenants, Landlords, and Inequality: Evidence from San Francisco</w:t>
      </w:r>
      <w:r w:rsidRPr="00C96266">
        <w:t>.</w:t>
      </w:r>
    </w:p>
    <w:p w14:paraId="34DF006A" w14:textId="77777777" w:rsidR="00C96266" w:rsidRPr="00C96266" w:rsidRDefault="00C96266" w:rsidP="000B12CD">
      <w:pPr>
        <w:pStyle w:val="References"/>
      </w:pPr>
      <w:r w:rsidRPr="00C96266">
        <w:t xml:space="preserve">Early, D. W., &amp; Olsen, E. O. (1998). Rent control and homelessness. </w:t>
      </w:r>
      <w:r w:rsidRPr="00C96266">
        <w:rPr>
          <w:i/>
          <w:iCs/>
        </w:rPr>
        <w:t>Regional Science and Urban Economics</w:t>
      </w:r>
      <w:r w:rsidRPr="00C96266">
        <w:t xml:space="preserve">, </w:t>
      </w:r>
      <w:r w:rsidRPr="00C96266">
        <w:rPr>
          <w:i/>
          <w:iCs/>
        </w:rPr>
        <w:t>28</w:t>
      </w:r>
      <w:r w:rsidRPr="00C96266">
        <w:t>(6), 797–816.</w:t>
      </w:r>
    </w:p>
    <w:p w14:paraId="6A1FBE84" w14:textId="77777777" w:rsidR="00C96266" w:rsidRPr="00C96266" w:rsidRDefault="00C96266" w:rsidP="000B12CD">
      <w:pPr>
        <w:pStyle w:val="References"/>
      </w:pPr>
      <w:r w:rsidRPr="00C96266">
        <w:t xml:space="preserve">Gelman, A., &amp; Imbens, G. (2019). Why high-order polynomials should not be used in regression discontinuity designs. </w:t>
      </w:r>
      <w:r w:rsidRPr="00C96266">
        <w:rPr>
          <w:i/>
          <w:iCs/>
        </w:rPr>
        <w:t>Journal of Business &amp; Economic Statistics</w:t>
      </w:r>
      <w:r w:rsidRPr="00C96266">
        <w:t xml:space="preserve">, </w:t>
      </w:r>
      <w:r w:rsidRPr="00C96266">
        <w:rPr>
          <w:i/>
          <w:iCs/>
        </w:rPr>
        <w:t>37</w:t>
      </w:r>
      <w:r w:rsidRPr="00C96266">
        <w:t>(3), 447–456.</w:t>
      </w:r>
    </w:p>
    <w:p w14:paraId="5EDCD040" w14:textId="77777777" w:rsidR="00C96266" w:rsidRPr="00C96266" w:rsidRDefault="00C96266" w:rsidP="000B12CD">
      <w:pPr>
        <w:pStyle w:val="References"/>
      </w:pPr>
      <w:r w:rsidRPr="00C96266">
        <w:lastRenderedPageBreak/>
        <w:t xml:space="preserve">Glaeser, E. L., &amp; Luttmer, E. F. (2003). The misallocation of housing under rent control. </w:t>
      </w:r>
      <w:r w:rsidRPr="00C96266">
        <w:rPr>
          <w:i/>
          <w:iCs/>
        </w:rPr>
        <w:t>American Economic Review</w:t>
      </w:r>
      <w:r w:rsidRPr="00C96266">
        <w:t xml:space="preserve">, </w:t>
      </w:r>
      <w:r w:rsidRPr="00C96266">
        <w:rPr>
          <w:i/>
          <w:iCs/>
        </w:rPr>
        <w:t>93</w:t>
      </w:r>
      <w:r w:rsidRPr="00C96266">
        <w:t>(4), 1027–1046.</w:t>
      </w:r>
    </w:p>
    <w:p w14:paraId="582E2295" w14:textId="77777777" w:rsidR="00C96266" w:rsidRPr="00C96266" w:rsidRDefault="00C96266" w:rsidP="000B12CD">
      <w:pPr>
        <w:pStyle w:val="References"/>
      </w:pPr>
      <w:r w:rsidRPr="00C96266">
        <w:t xml:space="preserve">Gyourko, J., &amp; Linneman, P. (1990). Rent controls and rental housing quality: A note on the effects of New York City’s old controls. </w:t>
      </w:r>
      <w:r w:rsidRPr="00C96266">
        <w:rPr>
          <w:i/>
          <w:iCs/>
        </w:rPr>
        <w:t>Journal of Urban Economics</w:t>
      </w:r>
      <w:r w:rsidRPr="00C96266">
        <w:t xml:space="preserve">, </w:t>
      </w:r>
      <w:r w:rsidRPr="00C96266">
        <w:rPr>
          <w:i/>
          <w:iCs/>
        </w:rPr>
        <w:t>27</w:t>
      </w:r>
      <w:r w:rsidRPr="00C96266">
        <w:t>(3), 398–409.</w:t>
      </w:r>
    </w:p>
    <w:p w14:paraId="7CF18737" w14:textId="77777777" w:rsidR="00C96266" w:rsidRPr="00C96266" w:rsidRDefault="00C96266" w:rsidP="000B12CD">
      <w:pPr>
        <w:pStyle w:val="References"/>
      </w:pPr>
      <w:r w:rsidRPr="00C96266">
        <w:t xml:space="preserve">Gyourko, J., Mayer, C., &amp; Sinai, T. (2013). Superstar cities. </w:t>
      </w:r>
      <w:r w:rsidRPr="00C96266">
        <w:rPr>
          <w:i/>
          <w:iCs/>
        </w:rPr>
        <w:t>American Economic Journal: Economic Policy</w:t>
      </w:r>
      <w:r w:rsidRPr="00C96266">
        <w:t xml:space="preserve">, </w:t>
      </w:r>
      <w:r w:rsidRPr="00C96266">
        <w:rPr>
          <w:i/>
          <w:iCs/>
        </w:rPr>
        <w:t>5</w:t>
      </w:r>
      <w:r w:rsidRPr="00C96266">
        <w:t>(4), 167–199.</w:t>
      </w:r>
    </w:p>
    <w:p w14:paraId="58DD480F" w14:textId="77777777" w:rsidR="00C96266" w:rsidRPr="00C96266" w:rsidRDefault="00C96266" w:rsidP="000B12CD">
      <w:pPr>
        <w:pStyle w:val="References"/>
      </w:pPr>
      <w:r w:rsidRPr="00C96266">
        <w:t xml:space="preserve">Hazlett, T. (1982). Rent Controls and the housing Crisis. </w:t>
      </w:r>
      <w:r w:rsidRPr="00C96266">
        <w:rPr>
          <w:i/>
          <w:iCs/>
        </w:rPr>
        <w:t>Resolving the Housing Crisis: Government Policy, Decontrol and the Public Interest</w:t>
      </w:r>
      <w:r w:rsidRPr="00C96266">
        <w:t xml:space="preserve">, </w:t>
      </w:r>
      <w:r w:rsidRPr="00C96266">
        <w:rPr>
          <w:i/>
          <w:iCs/>
        </w:rPr>
        <w:t>277</w:t>
      </w:r>
      <w:r w:rsidRPr="00C96266">
        <w:t>.</w:t>
      </w:r>
    </w:p>
    <w:p w14:paraId="3C2243B0" w14:textId="77777777" w:rsidR="00C96266" w:rsidRPr="00C96266" w:rsidRDefault="00C96266" w:rsidP="000B12CD">
      <w:pPr>
        <w:pStyle w:val="References"/>
      </w:pPr>
      <w:r w:rsidRPr="00C96266">
        <w:t xml:space="preserve">Herscher, E. (1995, July 27). </w:t>
      </w:r>
      <w:r w:rsidRPr="00C96266">
        <w:rPr>
          <w:i/>
          <w:iCs/>
        </w:rPr>
        <w:t>Berkeley Renters Vow to Resist End of Controls</w:t>
      </w:r>
      <w:r w:rsidRPr="00C96266">
        <w:t>. SFGATE. https://www.sfgate.com/news/article/Berkeley-Renters-Vow-to-Resist-End-of-Controls-3027981.php</w:t>
      </w:r>
    </w:p>
    <w:p w14:paraId="098B816B" w14:textId="77777777" w:rsidR="00C96266" w:rsidRPr="00C96266" w:rsidRDefault="00C96266" w:rsidP="000B12CD">
      <w:pPr>
        <w:pStyle w:val="References"/>
      </w:pPr>
      <w:r w:rsidRPr="00C96266">
        <w:t xml:space="preserve">Heskin, A. D., Levine, N., &amp; Garrett, M. (2000). The effects of vacancy control: A spatial analysis of four California cities. </w:t>
      </w:r>
      <w:r w:rsidRPr="00C96266">
        <w:rPr>
          <w:i/>
          <w:iCs/>
        </w:rPr>
        <w:t>Journal of the American Planning Association</w:t>
      </w:r>
      <w:r w:rsidRPr="00C96266">
        <w:t xml:space="preserve">, </w:t>
      </w:r>
      <w:r w:rsidRPr="00C96266">
        <w:rPr>
          <w:i/>
          <w:iCs/>
        </w:rPr>
        <w:t>66</w:t>
      </w:r>
      <w:r w:rsidRPr="00C96266">
        <w:t>(2), 162–176.</w:t>
      </w:r>
    </w:p>
    <w:p w14:paraId="47F0AE7A" w14:textId="77777777" w:rsidR="00C96266" w:rsidRPr="00C96266" w:rsidRDefault="00C96266" w:rsidP="000B12CD">
      <w:pPr>
        <w:pStyle w:val="References"/>
      </w:pPr>
      <w:r w:rsidRPr="00C96266">
        <w:t xml:space="preserve">Imbens, G. W., &amp; Lemieux, T. (2008). Regression discontinuity designs: A guide to practice. </w:t>
      </w:r>
      <w:r w:rsidRPr="00C96266">
        <w:rPr>
          <w:i/>
          <w:iCs/>
        </w:rPr>
        <w:t>Journal of Econometrics</w:t>
      </w:r>
      <w:r w:rsidRPr="00C96266">
        <w:t xml:space="preserve">, </w:t>
      </w:r>
      <w:r w:rsidRPr="00C96266">
        <w:rPr>
          <w:i/>
          <w:iCs/>
        </w:rPr>
        <w:t>142</w:t>
      </w:r>
      <w:r w:rsidRPr="00C96266">
        <w:t>(2), 615–635.</w:t>
      </w:r>
    </w:p>
    <w:p w14:paraId="77625888" w14:textId="77777777" w:rsidR="00C96266" w:rsidRPr="00C96266" w:rsidRDefault="00C96266" w:rsidP="000B12CD">
      <w:pPr>
        <w:pStyle w:val="References"/>
      </w:pPr>
      <w:r w:rsidRPr="00C96266">
        <w:t xml:space="preserve">Jenkins, B. (2009). Rent control: Do economists agree? </w:t>
      </w:r>
      <w:r w:rsidRPr="00C96266">
        <w:rPr>
          <w:i/>
          <w:iCs/>
        </w:rPr>
        <w:t>Econ Journal Watch</w:t>
      </w:r>
      <w:r w:rsidRPr="00C96266">
        <w:t xml:space="preserve">, </w:t>
      </w:r>
      <w:r w:rsidRPr="00C96266">
        <w:rPr>
          <w:i/>
          <w:iCs/>
        </w:rPr>
        <w:t>6</w:t>
      </w:r>
      <w:r w:rsidRPr="00C96266">
        <w:t>(1).</w:t>
      </w:r>
    </w:p>
    <w:p w14:paraId="12EB4DEC" w14:textId="77777777" w:rsidR="00C96266" w:rsidRPr="00C96266" w:rsidRDefault="00C96266" w:rsidP="000B12CD">
      <w:pPr>
        <w:pStyle w:val="References"/>
      </w:pPr>
      <w:r w:rsidRPr="00C96266">
        <w:t xml:space="preserve">Krol, R., &amp; Svorny, S. (2005). The effect of rent control on commute times. </w:t>
      </w:r>
      <w:r w:rsidRPr="00C96266">
        <w:rPr>
          <w:i/>
          <w:iCs/>
        </w:rPr>
        <w:t>Journal of Urban Economics</w:t>
      </w:r>
      <w:r w:rsidRPr="00C96266">
        <w:t xml:space="preserve">, </w:t>
      </w:r>
      <w:r w:rsidRPr="00C96266">
        <w:rPr>
          <w:i/>
          <w:iCs/>
        </w:rPr>
        <w:t>58</w:t>
      </w:r>
      <w:r w:rsidRPr="00C96266">
        <w:t>(3), 421–436.</w:t>
      </w:r>
    </w:p>
    <w:p w14:paraId="68191B97" w14:textId="77777777" w:rsidR="00C96266" w:rsidRPr="00C96266" w:rsidRDefault="00C96266" w:rsidP="000B12CD">
      <w:pPr>
        <w:pStyle w:val="References"/>
      </w:pPr>
      <w:r w:rsidRPr="00C96266">
        <w:t xml:space="preserve">Levin, S. (2020, April 17). </w:t>
      </w:r>
      <w:r w:rsidRPr="00C96266">
        <w:rPr>
          <w:i/>
          <w:iCs/>
        </w:rPr>
        <w:t>Sick, elderly, pregnant: The California renters being evicted even during the pandemic</w:t>
      </w:r>
      <w:r w:rsidRPr="00C96266">
        <w:t>. The Guardian. http://www.theguardian.com/world/2020/apr/17/sick-elderly-pregnant-the-california-renters-being-evicted-even-during-the-pandemic</w:t>
      </w:r>
    </w:p>
    <w:p w14:paraId="26446D4A" w14:textId="77777777" w:rsidR="00C96266" w:rsidRPr="00C96266" w:rsidRDefault="00C96266" w:rsidP="000B12CD">
      <w:pPr>
        <w:pStyle w:val="References"/>
      </w:pPr>
      <w:r w:rsidRPr="00C96266">
        <w:t xml:space="preserve">Maharawal, M. M., &amp; McElroy, E. (2018). The anti-eviction mapping project: Counter mapping and oral history toward bay area housing justice. </w:t>
      </w:r>
      <w:r w:rsidRPr="00C96266">
        <w:rPr>
          <w:i/>
          <w:iCs/>
        </w:rPr>
        <w:t>Annals of the American Association of Geographers</w:t>
      </w:r>
      <w:r w:rsidRPr="00C96266">
        <w:t xml:space="preserve">, </w:t>
      </w:r>
      <w:r w:rsidRPr="00C96266">
        <w:rPr>
          <w:i/>
          <w:iCs/>
        </w:rPr>
        <w:t>108</w:t>
      </w:r>
      <w:r w:rsidRPr="00C96266">
        <w:t>(2), 380–389.</w:t>
      </w:r>
    </w:p>
    <w:p w14:paraId="2A2165E8" w14:textId="77777777" w:rsidR="00C96266" w:rsidRPr="00C96266" w:rsidRDefault="00C96266" w:rsidP="000B12CD">
      <w:pPr>
        <w:pStyle w:val="References"/>
      </w:pPr>
      <w:r w:rsidRPr="00C96266">
        <w:t xml:space="preserve">Mense, A., Michelsen, C., &amp; Kholodilin, K. (2018). </w:t>
      </w:r>
      <w:r w:rsidRPr="00C96266">
        <w:rPr>
          <w:i/>
          <w:iCs/>
        </w:rPr>
        <w:t>Empirics on the causal effects of rent control in Germany</w:t>
      </w:r>
      <w:r w:rsidRPr="00C96266">
        <w:t>.</w:t>
      </w:r>
    </w:p>
    <w:p w14:paraId="5E4F4DB2" w14:textId="77777777" w:rsidR="00C96266" w:rsidRPr="00C96266" w:rsidRDefault="00C96266" w:rsidP="000B12CD">
      <w:pPr>
        <w:pStyle w:val="References"/>
      </w:pPr>
      <w:r w:rsidRPr="00C96266">
        <w:t xml:space="preserve">Moon, C.-G., &amp; Stotsky, J. G. (1993). The effect of rent control on housing quality change: A longitudinal analysis. </w:t>
      </w:r>
      <w:r w:rsidRPr="00C96266">
        <w:rPr>
          <w:i/>
          <w:iCs/>
        </w:rPr>
        <w:t>Journal of Political Economy</w:t>
      </w:r>
      <w:r w:rsidRPr="00C96266">
        <w:t xml:space="preserve">, </w:t>
      </w:r>
      <w:r w:rsidRPr="00C96266">
        <w:rPr>
          <w:i/>
          <w:iCs/>
        </w:rPr>
        <w:t>101</w:t>
      </w:r>
      <w:r w:rsidRPr="00C96266">
        <w:t>(6), 1114–1148.</w:t>
      </w:r>
    </w:p>
    <w:p w14:paraId="23648C65" w14:textId="77777777" w:rsidR="00C96266" w:rsidRPr="00C96266" w:rsidRDefault="00C96266" w:rsidP="000B12CD">
      <w:pPr>
        <w:pStyle w:val="References"/>
      </w:pPr>
      <w:r w:rsidRPr="00C96266">
        <w:lastRenderedPageBreak/>
        <w:t xml:space="preserve">Murray, M. P., Rydell, C. P., Barnett, C. L., Hillestad, C. E., &amp; Neels, K. (1991). Analyzing rent control: The case of Los Angeles. </w:t>
      </w:r>
      <w:r w:rsidRPr="00C96266">
        <w:rPr>
          <w:i/>
          <w:iCs/>
        </w:rPr>
        <w:t>Economic Inquiry</w:t>
      </w:r>
      <w:r w:rsidRPr="00C96266">
        <w:t xml:space="preserve">, </w:t>
      </w:r>
      <w:r w:rsidRPr="00C96266">
        <w:rPr>
          <w:i/>
          <w:iCs/>
        </w:rPr>
        <w:t>29</w:t>
      </w:r>
      <w:r w:rsidRPr="00C96266">
        <w:t>(4), 601–625.</w:t>
      </w:r>
    </w:p>
    <w:p w14:paraId="636AB34A" w14:textId="77777777" w:rsidR="00C96266" w:rsidRPr="00C96266" w:rsidRDefault="00C96266" w:rsidP="000B12CD">
      <w:pPr>
        <w:pStyle w:val="References"/>
      </w:pPr>
      <w:r w:rsidRPr="00C96266">
        <w:t xml:space="preserve">Nagy, J. (1995). Increased Duration and Sample Attrition in New York City′ s Rent Controlled Sector. </w:t>
      </w:r>
      <w:r w:rsidRPr="00C96266">
        <w:rPr>
          <w:i/>
          <w:iCs/>
        </w:rPr>
        <w:t>Journal of Urban Economics</w:t>
      </w:r>
      <w:r w:rsidRPr="00C96266">
        <w:t xml:space="preserve">, </w:t>
      </w:r>
      <w:r w:rsidRPr="00C96266">
        <w:rPr>
          <w:i/>
          <w:iCs/>
        </w:rPr>
        <w:t>38</w:t>
      </w:r>
      <w:r w:rsidRPr="00C96266">
        <w:t>(2), 127–137.</w:t>
      </w:r>
    </w:p>
    <w:p w14:paraId="0F6D0B5B" w14:textId="77777777" w:rsidR="00C96266" w:rsidRPr="00C96266" w:rsidRDefault="00C96266" w:rsidP="000B12CD">
      <w:pPr>
        <w:pStyle w:val="References"/>
      </w:pPr>
      <w:r w:rsidRPr="00C96266">
        <w:t xml:space="preserve">Nagy, J. (1997). Do vacancy decontrol provisions undo rent control? </w:t>
      </w:r>
      <w:r w:rsidRPr="00C96266">
        <w:rPr>
          <w:i/>
          <w:iCs/>
        </w:rPr>
        <w:t>Journal of Urban Economics</w:t>
      </w:r>
      <w:r w:rsidRPr="00C96266">
        <w:t xml:space="preserve">, </w:t>
      </w:r>
      <w:r w:rsidRPr="00C96266">
        <w:rPr>
          <w:i/>
          <w:iCs/>
        </w:rPr>
        <w:t>42</w:t>
      </w:r>
      <w:r w:rsidRPr="00C96266">
        <w:t>(1), 64–78.</w:t>
      </w:r>
    </w:p>
    <w:p w14:paraId="655963FE" w14:textId="77777777" w:rsidR="00C96266" w:rsidRPr="00C96266" w:rsidRDefault="00C96266" w:rsidP="000B12CD">
      <w:pPr>
        <w:pStyle w:val="References"/>
      </w:pPr>
      <w:r w:rsidRPr="00C96266">
        <w:t xml:space="preserve">Navarro, P. (1985). Rent control in cambridge, mass. </w:t>
      </w:r>
      <w:r w:rsidRPr="00C96266">
        <w:rPr>
          <w:i/>
          <w:iCs/>
        </w:rPr>
        <w:t>The Public Interest</w:t>
      </w:r>
      <w:r w:rsidRPr="00C96266">
        <w:t xml:space="preserve">, </w:t>
      </w:r>
      <w:r w:rsidRPr="00C96266">
        <w:rPr>
          <w:i/>
          <w:iCs/>
        </w:rPr>
        <w:t>78</w:t>
      </w:r>
      <w:r w:rsidRPr="00C96266">
        <w:t>, 83.</w:t>
      </w:r>
    </w:p>
    <w:p w14:paraId="315E017C" w14:textId="77777777" w:rsidR="00C96266" w:rsidRPr="00C96266" w:rsidRDefault="00C96266" w:rsidP="000B12CD">
      <w:pPr>
        <w:pStyle w:val="References"/>
      </w:pPr>
      <w:r w:rsidRPr="00C96266">
        <w:t xml:space="preserve">Pastor, M., Carter, V., &amp; Abood, M. (2018). Rent Matters: What are the Impacts of Rent Stabilization Measures? </w:t>
      </w:r>
      <w:r w:rsidRPr="00C96266">
        <w:rPr>
          <w:i/>
          <w:iCs/>
        </w:rPr>
        <w:t>Los Angeles: USC Dornsife Program for Environmental and Regional Equity</w:t>
      </w:r>
      <w:r w:rsidRPr="00C96266">
        <w:t>.</w:t>
      </w:r>
    </w:p>
    <w:p w14:paraId="7E6BAF56" w14:textId="77777777" w:rsidR="00C96266" w:rsidRPr="00C96266" w:rsidRDefault="00C96266" w:rsidP="000B12CD">
      <w:pPr>
        <w:pStyle w:val="References"/>
      </w:pPr>
      <w:r w:rsidRPr="00C96266">
        <w:rPr>
          <w:i/>
          <w:iCs/>
        </w:rPr>
        <w:t>Reference: Assessor-Recorder Property Class Codes | DataSF | City and County of San Francisco</w:t>
      </w:r>
      <w:r w:rsidRPr="00C96266">
        <w:t>. (n.d.). Retrieved June 26, 2021, from https://data.sfgov.org/Housing-and-Buildings/Reference-Assessor-Recorder-Property-Class-Codes/pa56-ek2h</w:t>
      </w:r>
    </w:p>
    <w:p w14:paraId="0432666A" w14:textId="77777777" w:rsidR="00C96266" w:rsidRPr="00C96266" w:rsidRDefault="00C96266" w:rsidP="000B12CD">
      <w:pPr>
        <w:pStyle w:val="References"/>
      </w:pPr>
      <w:r w:rsidRPr="00C96266">
        <w:t xml:space="preserve">Riley, N. J. (2013, June 12). </w:t>
      </w:r>
      <w:r w:rsidRPr="00C96266">
        <w:rPr>
          <w:i/>
          <w:iCs/>
        </w:rPr>
        <w:t>Condo conversion law OKd by S.F. board</w:t>
      </w:r>
      <w:r w:rsidRPr="00C96266">
        <w:t>. SFGATE. https://www.sfgate.com/bayarea/article/Condo-conversion-law-OKd-by-S-F-board-4594985.php</w:t>
      </w:r>
    </w:p>
    <w:p w14:paraId="1C8FA0D7" w14:textId="77777777" w:rsidR="00C96266" w:rsidRPr="00C96266" w:rsidRDefault="00C96266" w:rsidP="000B12CD">
      <w:pPr>
        <w:pStyle w:val="References"/>
      </w:pPr>
      <w:r w:rsidRPr="00C96266">
        <w:t xml:space="preserve">Sims, D. P. (2007). Out of control: What can we learn from the end of Massachusetts rent control? </w:t>
      </w:r>
      <w:r w:rsidRPr="00C96266">
        <w:rPr>
          <w:i/>
          <w:iCs/>
        </w:rPr>
        <w:t>Journal of Urban Economics</w:t>
      </w:r>
      <w:r w:rsidRPr="00C96266">
        <w:t xml:space="preserve">, </w:t>
      </w:r>
      <w:r w:rsidRPr="00C96266">
        <w:rPr>
          <w:i/>
          <w:iCs/>
        </w:rPr>
        <w:t>61</w:t>
      </w:r>
      <w:r w:rsidRPr="00C96266">
        <w:t>(1), 129–151.</w:t>
      </w:r>
    </w:p>
    <w:p w14:paraId="4D1A11A6" w14:textId="77777777" w:rsidR="00C96266" w:rsidRPr="00C96266" w:rsidRDefault="00C96266" w:rsidP="000B12CD">
      <w:pPr>
        <w:pStyle w:val="References"/>
      </w:pPr>
      <w:r w:rsidRPr="00C96266">
        <w:t xml:space="preserve">Thistlethwaite, D. L., &amp; Campbell, D. T. (1960). Regression-discontinuity analysis: An alternative to the ex post facto experiment. </w:t>
      </w:r>
      <w:r w:rsidRPr="00C96266">
        <w:rPr>
          <w:i/>
          <w:iCs/>
        </w:rPr>
        <w:t>Journal of Educational Psychology</w:t>
      </w:r>
      <w:r w:rsidRPr="00C96266">
        <w:t xml:space="preserve">, </w:t>
      </w:r>
      <w:r w:rsidRPr="00C96266">
        <w:rPr>
          <w:i/>
          <w:iCs/>
        </w:rPr>
        <w:t>51</w:t>
      </w:r>
      <w:r w:rsidRPr="00C96266">
        <w:t>(6), 309.</w:t>
      </w:r>
    </w:p>
    <w:p w14:paraId="3D82FAC6" w14:textId="1559A6B7" w:rsidR="00302396" w:rsidRDefault="00FB4A97" w:rsidP="000B12CD">
      <w:pPr>
        <w:pStyle w:val="References"/>
      </w:pPr>
      <w:r w:rsidRPr="00C0654B">
        <w:fldChar w:fldCharType="end"/>
      </w:r>
    </w:p>
    <w:p w14:paraId="64DB6567" w14:textId="77777777" w:rsidR="00FB4A97" w:rsidRDefault="00FB4A97" w:rsidP="00FB4A97">
      <w:pPr>
        <w:pStyle w:val="References"/>
      </w:pPr>
    </w:p>
    <w:p w14:paraId="73F3C276" w14:textId="77777777" w:rsidR="00184890" w:rsidRDefault="00184890" w:rsidP="0021102C">
      <w:pPr>
        <w:pStyle w:val="Heading1"/>
      </w:pPr>
      <w:r>
        <w:br w:type="page"/>
      </w:r>
    </w:p>
    <w:p w14:paraId="4FCE1AB3" w14:textId="6C2F76F7" w:rsidR="00FB4A97" w:rsidRDefault="0021102C" w:rsidP="0021102C">
      <w:pPr>
        <w:pStyle w:val="Heading1"/>
      </w:pPr>
      <w:r>
        <w:lastRenderedPageBreak/>
        <w:t>Appendix A.</w:t>
      </w:r>
    </w:p>
    <w:p w14:paraId="16A7DF5B" w14:textId="014877DB" w:rsidR="00FB4A97" w:rsidRDefault="0021102C" w:rsidP="0021102C">
      <w:pPr>
        <w:pStyle w:val="Tabletitle"/>
      </w:pPr>
      <w:r>
        <w:t>Eviction Frequency by Type and Built-Year Cut-off</w:t>
      </w:r>
    </w:p>
    <w:tbl>
      <w:tblPr>
        <w:tblW w:w="8852" w:type="dxa"/>
        <w:tblInd w:w="30" w:type="dxa"/>
        <w:tblLayout w:type="fixed"/>
        <w:tblLook w:val="0600" w:firstRow="0" w:lastRow="0" w:firstColumn="0" w:lastColumn="0" w:noHBand="1" w:noVBand="1"/>
      </w:tblPr>
      <w:tblGrid>
        <w:gridCol w:w="4655"/>
        <w:gridCol w:w="1350"/>
        <w:gridCol w:w="705"/>
        <w:gridCol w:w="735"/>
        <w:gridCol w:w="570"/>
        <w:gridCol w:w="837"/>
      </w:tblGrid>
      <w:tr w:rsidR="008806CA" w:rsidRPr="004A477C" w14:paraId="51F9324D" w14:textId="77777777" w:rsidTr="008806CA">
        <w:trPr>
          <w:trHeight w:val="223"/>
        </w:trPr>
        <w:tc>
          <w:tcPr>
            <w:tcW w:w="4655" w:type="dxa"/>
            <w:shd w:val="clear" w:color="auto" w:fill="auto"/>
            <w:tcMar>
              <w:top w:w="0" w:type="dxa"/>
              <w:left w:w="0" w:type="dxa"/>
              <w:bottom w:w="0" w:type="dxa"/>
              <w:right w:w="0" w:type="dxa"/>
            </w:tcMar>
            <w:vAlign w:val="center"/>
          </w:tcPr>
          <w:p w14:paraId="6BAA3C3D" w14:textId="77777777" w:rsidR="004A477C" w:rsidRPr="004A477C" w:rsidRDefault="004A477C" w:rsidP="0021102C">
            <w:pPr>
              <w:widowControl w:val="0"/>
              <w:spacing w:line="240" w:lineRule="auto"/>
              <w:ind w:left="-900"/>
              <w:rPr>
                <w:sz w:val="18"/>
                <w:szCs w:val="18"/>
              </w:rPr>
            </w:pPr>
          </w:p>
        </w:tc>
        <w:tc>
          <w:tcPr>
            <w:tcW w:w="1350" w:type="dxa"/>
            <w:tcBorders>
              <w:right w:val="single" w:sz="4" w:space="0" w:color="808080" w:themeColor="background1" w:themeShade="80"/>
            </w:tcBorders>
            <w:vAlign w:val="center"/>
          </w:tcPr>
          <w:p w14:paraId="17A179CB" w14:textId="77777777" w:rsidR="004A477C" w:rsidRPr="004A477C" w:rsidRDefault="004A477C" w:rsidP="0021102C">
            <w:pPr>
              <w:widowControl w:val="0"/>
              <w:spacing w:line="240" w:lineRule="auto"/>
              <w:jc w:val="center"/>
              <w:rPr>
                <w:b/>
                <w:sz w:val="18"/>
                <w:szCs w:val="18"/>
              </w:rPr>
            </w:pPr>
          </w:p>
        </w:tc>
        <w:tc>
          <w:tcPr>
            <w:tcW w:w="1440" w:type="dxa"/>
            <w:gridSpan w:val="2"/>
            <w:tcBorders>
              <w:left w:val="single" w:sz="4" w:space="0" w:color="808080" w:themeColor="background1" w:themeShade="80"/>
              <w:right w:val="single" w:sz="4" w:space="0" w:color="808080" w:themeColor="background1" w:themeShade="80"/>
            </w:tcBorders>
            <w:shd w:val="clear" w:color="auto" w:fill="auto"/>
            <w:tcMar>
              <w:top w:w="0" w:type="dxa"/>
              <w:left w:w="0" w:type="dxa"/>
              <w:bottom w:w="0" w:type="dxa"/>
              <w:right w:w="0" w:type="dxa"/>
            </w:tcMar>
            <w:vAlign w:val="center"/>
          </w:tcPr>
          <w:p w14:paraId="7CD5D11D" w14:textId="34288C4D" w:rsidR="004A477C" w:rsidRPr="004A477C" w:rsidRDefault="004A477C" w:rsidP="0021102C">
            <w:pPr>
              <w:widowControl w:val="0"/>
              <w:spacing w:line="240" w:lineRule="auto"/>
              <w:jc w:val="center"/>
              <w:rPr>
                <w:sz w:val="18"/>
                <w:szCs w:val="18"/>
              </w:rPr>
            </w:pPr>
            <w:r w:rsidRPr="004A477C">
              <w:rPr>
                <w:b/>
                <w:sz w:val="18"/>
                <w:szCs w:val="18"/>
              </w:rPr>
              <w:t xml:space="preserve">built </w:t>
            </w:r>
            <w:r>
              <w:rPr>
                <w:b/>
                <w:sz w:val="18"/>
                <w:szCs w:val="18"/>
              </w:rPr>
              <w:t>year &lt;=</w:t>
            </w:r>
            <w:r w:rsidRPr="004A477C">
              <w:rPr>
                <w:b/>
                <w:sz w:val="18"/>
                <w:szCs w:val="18"/>
              </w:rPr>
              <w:t xml:space="preserve"> 19</w:t>
            </w:r>
            <w:r>
              <w:rPr>
                <w:b/>
                <w:sz w:val="18"/>
                <w:szCs w:val="18"/>
              </w:rPr>
              <w:t>79</w:t>
            </w:r>
          </w:p>
        </w:tc>
        <w:tc>
          <w:tcPr>
            <w:tcW w:w="1407" w:type="dxa"/>
            <w:gridSpan w:val="2"/>
            <w:tcBorders>
              <w:left w:val="single" w:sz="4" w:space="0" w:color="808080" w:themeColor="background1" w:themeShade="80"/>
            </w:tcBorders>
            <w:shd w:val="clear" w:color="auto" w:fill="auto"/>
            <w:tcMar>
              <w:top w:w="0" w:type="dxa"/>
              <w:left w:w="0" w:type="dxa"/>
              <w:bottom w:w="0" w:type="dxa"/>
              <w:right w:w="0" w:type="dxa"/>
            </w:tcMar>
            <w:vAlign w:val="center"/>
          </w:tcPr>
          <w:p w14:paraId="31C44789" w14:textId="71A51810" w:rsidR="004A477C" w:rsidRPr="004A477C" w:rsidRDefault="004A477C" w:rsidP="0021102C">
            <w:pPr>
              <w:widowControl w:val="0"/>
              <w:spacing w:line="240" w:lineRule="auto"/>
              <w:jc w:val="center"/>
              <w:rPr>
                <w:sz w:val="18"/>
                <w:szCs w:val="18"/>
              </w:rPr>
            </w:pPr>
            <w:r w:rsidRPr="004A477C">
              <w:rPr>
                <w:b/>
                <w:sz w:val="18"/>
                <w:szCs w:val="18"/>
              </w:rPr>
              <w:t xml:space="preserve">built </w:t>
            </w:r>
            <w:r>
              <w:rPr>
                <w:b/>
                <w:sz w:val="18"/>
                <w:szCs w:val="18"/>
              </w:rPr>
              <w:t>year</w:t>
            </w:r>
            <w:r w:rsidRPr="004A477C">
              <w:rPr>
                <w:b/>
                <w:sz w:val="18"/>
                <w:szCs w:val="18"/>
              </w:rPr>
              <w:t xml:space="preserve"> </w:t>
            </w:r>
            <w:r>
              <w:rPr>
                <w:b/>
                <w:sz w:val="18"/>
                <w:szCs w:val="18"/>
              </w:rPr>
              <w:t xml:space="preserve">&gt; </w:t>
            </w:r>
            <w:r w:rsidRPr="004A477C">
              <w:rPr>
                <w:b/>
                <w:sz w:val="18"/>
                <w:szCs w:val="18"/>
              </w:rPr>
              <w:t>19</w:t>
            </w:r>
            <w:r>
              <w:rPr>
                <w:b/>
                <w:sz w:val="18"/>
                <w:szCs w:val="18"/>
              </w:rPr>
              <w:t>79</w:t>
            </w:r>
          </w:p>
        </w:tc>
      </w:tr>
      <w:tr w:rsidR="008806CA" w:rsidRPr="004A477C" w14:paraId="289C2F38" w14:textId="77777777" w:rsidTr="008806CA">
        <w:trPr>
          <w:trHeight w:val="144"/>
        </w:trPr>
        <w:tc>
          <w:tcPr>
            <w:tcW w:w="4655" w:type="dxa"/>
            <w:tcBorders>
              <w:bottom w:val="single" w:sz="4" w:space="0" w:color="808080" w:themeColor="background1" w:themeShade="80"/>
            </w:tcBorders>
            <w:shd w:val="clear" w:color="auto" w:fill="auto"/>
            <w:tcMar>
              <w:top w:w="0" w:type="dxa"/>
              <w:left w:w="0" w:type="dxa"/>
              <w:bottom w:w="0" w:type="dxa"/>
              <w:right w:w="0" w:type="dxa"/>
            </w:tcMar>
            <w:vAlign w:val="center"/>
          </w:tcPr>
          <w:p w14:paraId="600BA483" w14:textId="77777777" w:rsidR="004A477C" w:rsidRPr="004A477C" w:rsidRDefault="004A477C" w:rsidP="008806CA">
            <w:pPr>
              <w:widowControl w:val="0"/>
              <w:spacing w:line="240" w:lineRule="auto"/>
              <w:jc w:val="center"/>
              <w:rPr>
                <w:sz w:val="18"/>
                <w:szCs w:val="18"/>
              </w:rPr>
            </w:pPr>
            <w:r w:rsidRPr="004A477C">
              <w:rPr>
                <w:b/>
                <w:sz w:val="18"/>
                <w:szCs w:val="18"/>
              </w:rPr>
              <w:t>eviction type</w:t>
            </w:r>
          </w:p>
        </w:tc>
        <w:tc>
          <w:tcPr>
            <w:tcW w:w="1350" w:type="dxa"/>
            <w:tcBorders>
              <w:bottom w:val="single" w:sz="4" w:space="0" w:color="808080" w:themeColor="background1" w:themeShade="80"/>
              <w:right w:val="single" w:sz="4" w:space="0" w:color="808080" w:themeColor="background1" w:themeShade="80"/>
            </w:tcBorders>
            <w:vAlign w:val="center"/>
          </w:tcPr>
          <w:p w14:paraId="6CE3AFF4" w14:textId="0ADC4BEC" w:rsidR="004A477C" w:rsidRPr="004A477C" w:rsidRDefault="004A477C" w:rsidP="0021102C">
            <w:pPr>
              <w:widowControl w:val="0"/>
              <w:spacing w:line="240" w:lineRule="auto"/>
              <w:jc w:val="center"/>
              <w:rPr>
                <w:b/>
                <w:bCs/>
                <w:iCs/>
                <w:sz w:val="18"/>
                <w:szCs w:val="18"/>
              </w:rPr>
            </w:pPr>
            <w:r>
              <w:rPr>
                <w:b/>
                <w:bCs/>
                <w:iCs/>
                <w:sz w:val="18"/>
                <w:szCs w:val="18"/>
              </w:rPr>
              <w:t>eviction category</w:t>
            </w:r>
          </w:p>
        </w:tc>
        <w:tc>
          <w:tcPr>
            <w:tcW w:w="705" w:type="dxa"/>
            <w:tcBorders>
              <w:left w:val="single" w:sz="4" w:space="0" w:color="808080" w:themeColor="background1" w:themeShade="80"/>
              <w:bottom w:val="single" w:sz="4" w:space="0" w:color="808080" w:themeColor="background1" w:themeShade="80"/>
            </w:tcBorders>
            <w:shd w:val="clear" w:color="auto" w:fill="auto"/>
            <w:tcMar>
              <w:top w:w="0" w:type="dxa"/>
              <w:left w:w="0" w:type="dxa"/>
              <w:bottom w:w="0" w:type="dxa"/>
              <w:right w:w="0" w:type="dxa"/>
            </w:tcMar>
            <w:vAlign w:val="center"/>
          </w:tcPr>
          <w:p w14:paraId="39B32F0D" w14:textId="28CA1DBD" w:rsidR="004A477C" w:rsidRPr="004A477C" w:rsidRDefault="004A477C" w:rsidP="0021102C">
            <w:pPr>
              <w:widowControl w:val="0"/>
              <w:spacing w:line="240" w:lineRule="auto"/>
              <w:jc w:val="center"/>
              <w:rPr>
                <w:sz w:val="18"/>
                <w:szCs w:val="18"/>
              </w:rPr>
            </w:pPr>
            <w:r w:rsidRPr="004A477C">
              <w:rPr>
                <w:i/>
                <w:sz w:val="18"/>
                <w:szCs w:val="18"/>
              </w:rPr>
              <w:t>count</w:t>
            </w:r>
          </w:p>
        </w:tc>
        <w:tc>
          <w:tcPr>
            <w:tcW w:w="735" w:type="dxa"/>
            <w:tcBorders>
              <w:bottom w:val="single" w:sz="4" w:space="0" w:color="808080" w:themeColor="background1" w:themeShade="80"/>
              <w:right w:val="single" w:sz="4" w:space="0" w:color="808080" w:themeColor="background1" w:themeShade="80"/>
            </w:tcBorders>
            <w:shd w:val="clear" w:color="auto" w:fill="auto"/>
            <w:tcMar>
              <w:top w:w="0" w:type="dxa"/>
              <w:left w:w="0" w:type="dxa"/>
              <w:bottom w:w="0" w:type="dxa"/>
              <w:right w:w="0" w:type="dxa"/>
            </w:tcMar>
            <w:vAlign w:val="center"/>
          </w:tcPr>
          <w:p w14:paraId="2A20CA0F" w14:textId="5DABFDBE" w:rsidR="004A477C" w:rsidRPr="004A477C" w:rsidRDefault="004A477C" w:rsidP="0021102C">
            <w:pPr>
              <w:widowControl w:val="0"/>
              <w:spacing w:line="240" w:lineRule="auto"/>
              <w:jc w:val="center"/>
              <w:rPr>
                <w:sz w:val="18"/>
                <w:szCs w:val="18"/>
              </w:rPr>
            </w:pPr>
            <w:r w:rsidRPr="004A477C">
              <w:rPr>
                <w:i/>
                <w:sz w:val="18"/>
                <w:szCs w:val="18"/>
              </w:rPr>
              <w:t>%</w:t>
            </w:r>
          </w:p>
        </w:tc>
        <w:tc>
          <w:tcPr>
            <w:tcW w:w="570" w:type="dxa"/>
            <w:tcBorders>
              <w:left w:val="single" w:sz="4" w:space="0" w:color="808080" w:themeColor="background1" w:themeShade="80"/>
              <w:bottom w:val="single" w:sz="4" w:space="0" w:color="808080" w:themeColor="background1" w:themeShade="80"/>
            </w:tcBorders>
            <w:shd w:val="clear" w:color="auto" w:fill="auto"/>
            <w:tcMar>
              <w:top w:w="0" w:type="dxa"/>
              <w:left w:w="0" w:type="dxa"/>
              <w:bottom w:w="0" w:type="dxa"/>
              <w:right w:w="0" w:type="dxa"/>
            </w:tcMar>
            <w:vAlign w:val="center"/>
          </w:tcPr>
          <w:p w14:paraId="46F46E1A" w14:textId="77777777" w:rsidR="004A477C" w:rsidRPr="004A477C" w:rsidRDefault="004A477C" w:rsidP="0021102C">
            <w:pPr>
              <w:widowControl w:val="0"/>
              <w:spacing w:line="240" w:lineRule="auto"/>
              <w:jc w:val="center"/>
              <w:rPr>
                <w:sz w:val="18"/>
                <w:szCs w:val="18"/>
              </w:rPr>
            </w:pPr>
            <w:r w:rsidRPr="004A477C">
              <w:rPr>
                <w:i/>
                <w:sz w:val="18"/>
                <w:szCs w:val="18"/>
              </w:rPr>
              <w:t>count</w:t>
            </w:r>
          </w:p>
        </w:tc>
        <w:tc>
          <w:tcPr>
            <w:tcW w:w="837" w:type="dxa"/>
            <w:tcBorders>
              <w:bottom w:val="single" w:sz="4" w:space="0" w:color="808080" w:themeColor="background1" w:themeShade="80"/>
            </w:tcBorders>
            <w:shd w:val="clear" w:color="auto" w:fill="auto"/>
            <w:tcMar>
              <w:top w:w="0" w:type="dxa"/>
              <w:left w:w="0" w:type="dxa"/>
              <w:bottom w:w="0" w:type="dxa"/>
              <w:right w:w="0" w:type="dxa"/>
            </w:tcMar>
            <w:vAlign w:val="center"/>
          </w:tcPr>
          <w:p w14:paraId="2A30AE51" w14:textId="640720C4" w:rsidR="004A477C" w:rsidRPr="004A477C" w:rsidRDefault="004A477C" w:rsidP="0021102C">
            <w:pPr>
              <w:widowControl w:val="0"/>
              <w:spacing w:line="240" w:lineRule="auto"/>
              <w:jc w:val="center"/>
              <w:rPr>
                <w:sz w:val="18"/>
                <w:szCs w:val="18"/>
              </w:rPr>
            </w:pPr>
            <w:r w:rsidRPr="004A477C">
              <w:rPr>
                <w:i/>
                <w:sz w:val="18"/>
                <w:szCs w:val="18"/>
              </w:rPr>
              <w:t>%</w:t>
            </w:r>
          </w:p>
        </w:tc>
      </w:tr>
      <w:tr w:rsidR="008806CA" w:rsidRPr="004A477C" w14:paraId="68AEC18B" w14:textId="77777777" w:rsidTr="008806CA">
        <w:trPr>
          <w:trHeight w:val="144"/>
        </w:trPr>
        <w:tc>
          <w:tcPr>
            <w:tcW w:w="4655" w:type="dxa"/>
            <w:tcBorders>
              <w:top w:val="single" w:sz="4" w:space="0" w:color="808080" w:themeColor="background1" w:themeShade="80"/>
            </w:tcBorders>
            <w:shd w:val="clear" w:color="auto" w:fill="auto"/>
            <w:tcMar>
              <w:top w:w="0" w:type="dxa"/>
              <w:left w:w="0" w:type="dxa"/>
              <w:bottom w:w="0" w:type="dxa"/>
              <w:right w:w="0" w:type="dxa"/>
            </w:tcMar>
            <w:vAlign w:val="center"/>
          </w:tcPr>
          <w:p w14:paraId="0ACC505D" w14:textId="334B1365" w:rsidR="004A477C" w:rsidRPr="004A477C" w:rsidRDefault="004A477C" w:rsidP="004A477C">
            <w:pPr>
              <w:widowControl w:val="0"/>
              <w:spacing w:line="240" w:lineRule="auto"/>
              <w:rPr>
                <w:sz w:val="18"/>
                <w:szCs w:val="18"/>
              </w:rPr>
            </w:pPr>
            <w:r w:rsidRPr="004A477C">
              <w:rPr>
                <w:sz w:val="18"/>
                <w:szCs w:val="18"/>
              </w:rPr>
              <w:t>unknown</w:t>
            </w:r>
          </w:p>
        </w:tc>
        <w:tc>
          <w:tcPr>
            <w:tcW w:w="1350" w:type="dxa"/>
            <w:tcBorders>
              <w:top w:val="single" w:sz="4" w:space="0" w:color="808080" w:themeColor="background1" w:themeShade="80"/>
              <w:right w:val="single" w:sz="4" w:space="0" w:color="808080" w:themeColor="background1" w:themeShade="80"/>
            </w:tcBorders>
            <w:vAlign w:val="center"/>
          </w:tcPr>
          <w:p w14:paraId="7BC2F276" w14:textId="07D8DD2F" w:rsidR="004A477C" w:rsidRPr="004A477C" w:rsidRDefault="004A477C" w:rsidP="004A477C">
            <w:pPr>
              <w:widowControl w:val="0"/>
              <w:spacing w:line="240" w:lineRule="auto"/>
              <w:jc w:val="center"/>
              <w:rPr>
                <w:sz w:val="18"/>
                <w:szCs w:val="18"/>
              </w:rPr>
            </w:pPr>
            <w:r>
              <w:rPr>
                <w:sz w:val="18"/>
                <w:szCs w:val="18"/>
              </w:rPr>
              <w:t>unknown/other</w:t>
            </w:r>
          </w:p>
        </w:tc>
        <w:tc>
          <w:tcPr>
            <w:tcW w:w="705" w:type="dxa"/>
            <w:tcBorders>
              <w:top w:val="single" w:sz="4" w:space="0" w:color="808080" w:themeColor="background1" w:themeShade="80"/>
              <w:left w:val="single" w:sz="4" w:space="0" w:color="808080" w:themeColor="background1" w:themeShade="80"/>
            </w:tcBorders>
            <w:shd w:val="clear" w:color="auto" w:fill="auto"/>
            <w:tcMar>
              <w:top w:w="0" w:type="dxa"/>
              <w:left w:w="0" w:type="dxa"/>
              <w:bottom w:w="0" w:type="dxa"/>
              <w:right w:w="0" w:type="dxa"/>
            </w:tcMar>
            <w:vAlign w:val="center"/>
          </w:tcPr>
          <w:p w14:paraId="5B33AB2B" w14:textId="75E20ABD" w:rsidR="004A477C" w:rsidRPr="004A477C" w:rsidRDefault="004A477C" w:rsidP="004A477C">
            <w:pPr>
              <w:widowControl w:val="0"/>
              <w:spacing w:line="240" w:lineRule="auto"/>
              <w:jc w:val="right"/>
              <w:rPr>
                <w:sz w:val="18"/>
                <w:szCs w:val="18"/>
              </w:rPr>
            </w:pPr>
            <w:r w:rsidRPr="004A477C">
              <w:rPr>
                <w:sz w:val="18"/>
                <w:szCs w:val="18"/>
              </w:rPr>
              <w:t>5066</w:t>
            </w:r>
          </w:p>
        </w:tc>
        <w:tc>
          <w:tcPr>
            <w:tcW w:w="735" w:type="dxa"/>
            <w:tcBorders>
              <w:top w:val="single" w:sz="4" w:space="0" w:color="808080" w:themeColor="background1" w:themeShade="80"/>
              <w:right w:val="single" w:sz="4" w:space="0" w:color="808080" w:themeColor="background1" w:themeShade="80"/>
            </w:tcBorders>
            <w:shd w:val="clear" w:color="auto" w:fill="auto"/>
            <w:tcMar>
              <w:top w:w="0" w:type="dxa"/>
              <w:left w:w="0" w:type="dxa"/>
              <w:bottom w:w="0" w:type="dxa"/>
              <w:right w:w="0" w:type="dxa"/>
            </w:tcMar>
            <w:vAlign w:val="center"/>
          </w:tcPr>
          <w:p w14:paraId="683A70FA" w14:textId="6081E108" w:rsidR="004A477C" w:rsidRPr="004A477C" w:rsidRDefault="004A477C" w:rsidP="004A477C">
            <w:pPr>
              <w:widowControl w:val="0"/>
              <w:spacing w:line="240" w:lineRule="auto"/>
              <w:jc w:val="right"/>
              <w:rPr>
                <w:sz w:val="18"/>
                <w:szCs w:val="18"/>
              </w:rPr>
            </w:pPr>
            <w:r w:rsidRPr="004A477C">
              <w:rPr>
                <w:sz w:val="18"/>
                <w:szCs w:val="18"/>
              </w:rPr>
              <w:t>36.8</w:t>
            </w:r>
          </w:p>
        </w:tc>
        <w:tc>
          <w:tcPr>
            <w:tcW w:w="570" w:type="dxa"/>
            <w:tcBorders>
              <w:top w:val="single" w:sz="4" w:space="0" w:color="808080" w:themeColor="background1" w:themeShade="80"/>
              <w:left w:val="single" w:sz="4" w:space="0" w:color="808080" w:themeColor="background1" w:themeShade="80"/>
            </w:tcBorders>
            <w:shd w:val="clear" w:color="auto" w:fill="auto"/>
            <w:tcMar>
              <w:top w:w="0" w:type="dxa"/>
              <w:left w:w="0" w:type="dxa"/>
              <w:bottom w:w="0" w:type="dxa"/>
              <w:right w:w="0" w:type="dxa"/>
            </w:tcMar>
            <w:vAlign w:val="center"/>
          </w:tcPr>
          <w:p w14:paraId="250D174A" w14:textId="1249DAB3" w:rsidR="004A477C" w:rsidRPr="004A477C" w:rsidRDefault="004A477C" w:rsidP="004A477C">
            <w:pPr>
              <w:widowControl w:val="0"/>
              <w:spacing w:line="240" w:lineRule="auto"/>
              <w:jc w:val="right"/>
              <w:rPr>
                <w:sz w:val="18"/>
                <w:szCs w:val="18"/>
              </w:rPr>
            </w:pPr>
            <w:r w:rsidRPr="004A477C">
              <w:rPr>
                <w:sz w:val="18"/>
                <w:szCs w:val="18"/>
              </w:rPr>
              <w:t>44</w:t>
            </w:r>
          </w:p>
        </w:tc>
        <w:tc>
          <w:tcPr>
            <w:tcW w:w="837" w:type="dxa"/>
            <w:tcBorders>
              <w:top w:val="single" w:sz="4" w:space="0" w:color="808080" w:themeColor="background1" w:themeShade="80"/>
            </w:tcBorders>
            <w:shd w:val="clear" w:color="auto" w:fill="auto"/>
            <w:tcMar>
              <w:top w:w="0" w:type="dxa"/>
              <w:left w:w="0" w:type="dxa"/>
              <w:bottom w:w="0" w:type="dxa"/>
              <w:right w:w="0" w:type="dxa"/>
            </w:tcMar>
            <w:vAlign w:val="center"/>
          </w:tcPr>
          <w:p w14:paraId="02433E04" w14:textId="623C1145" w:rsidR="004A477C" w:rsidRPr="004A477C" w:rsidRDefault="004A477C" w:rsidP="004A477C">
            <w:pPr>
              <w:widowControl w:val="0"/>
              <w:spacing w:line="240" w:lineRule="auto"/>
              <w:jc w:val="right"/>
              <w:rPr>
                <w:sz w:val="18"/>
                <w:szCs w:val="18"/>
              </w:rPr>
            </w:pPr>
            <w:r w:rsidRPr="004A477C">
              <w:rPr>
                <w:sz w:val="18"/>
                <w:szCs w:val="18"/>
              </w:rPr>
              <w:t>23.3</w:t>
            </w:r>
          </w:p>
        </w:tc>
      </w:tr>
      <w:tr w:rsidR="008806CA" w:rsidRPr="004A477C" w14:paraId="1606E3AE" w14:textId="77777777" w:rsidTr="008806CA">
        <w:trPr>
          <w:trHeight w:val="144"/>
        </w:trPr>
        <w:tc>
          <w:tcPr>
            <w:tcW w:w="4655" w:type="dxa"/>
            <w:shd w:val="clear" w:color="auto" w:fill="auto"/>
            <w:tcMar>
              <w:top w:w="0" w:type="dxa"/>
              <w:left w:w="0" w:type="dxa"/>
              <w:bottom w:w="0" w:type="dxa"/>
              <w:right w:w="0" w:type="dxa"/>
            </w:tcMar>
            <w:vAlign w:val="center"/>
          </w:tcPr>
          <w:p w14:paraId="1343E424" w14:textId="0EB14517" w:rsidR="004A477C" w:rsidRPr="004A477C" w:rsidRDefault="004A477C" w:rsidP="004A477C">
            <w:pPr>
              <w:widowControl w:val="0"/>
              <w:spacing w:line="240" w:lineRule="auto"/>
              <w:rPr>
                <w:sz w:val="18"/>
                <w:szCs w:val="18"/>
              </w:rPr>
            </w:pPr>
            <w:r w:rsidRPr="004A477C">
              <w:rPr>
                <w:sz w:val="18"/>
                <w:szCs w:val="18"/>
              </w:rPr>
              <w:t>Breach of Lease Agreement</w:t>
            </w:r>
          </w:p>
        </w:tc>
        <w:tc>
          <w:tcPr>
            <w:tcW w:w="1350" w:type="dxa"/>
            <w:tcBorders>
              <w:right w:val="single" w:sz="4" w:space="0" w:color="808080" w:themeColor="background1" w:themeShade="80"/>
            </w:tcBorders>
            <w:vAlign w:val="center"/>
          </w:tcPr>
          <w:p w14:paraId="29C69AD7" w14:textId="60BB686B" w:rsidR="004A477C" w:rsidRPr="004A477C" w:rsidRDefault="008806CA" w:rsidP="004A477C">
            <w:pPr>
              <w:widowControl w:val="0"/>
              <w:spacing w:line="240" w:lineRule="auto"/>
              <w:jc w:val="center"/>
              <w:rPr>
                <w:sz w:val="18"/>
                <w:szCs w:val="18"/>
              </w:rPr>
            </w:pPr>
            <w:r>
              <w:rPr>
                <w:sz w:val="18"/>
                <w:szCs w:val="18"/>
              </w:rPr>
              <w:t>B</w:t>
            </w:r>
            <w:r w:rsidR="004A477C">
              <w:rPr>
                <w:sz w:val="18"/>
                <w:szCs w:val="18"/>
              </w:rPr>
              <w:t>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2E94001D" w14:textId="00DC982D" w:rsidR="004A477C" w:rsidRPr="004A477C" w:rsidRDefault="004A477C" w:rsidP="004A477C">
            <w:pPr>
              <w:widowControl w:val="0"/>
              <w:spacing w:line="240" w:lineRule="auto"/>
              <w:jc w:val="right"/>
              <w:rPr>
                <w:sz w:val="18"/>
                <w:szCs w:val="18"/>
              </w:rPr>
            </w:pPr>
            <w:r w:rsidRPr="004A477C">
              <w:rPr>
                <w:sz w:val="18"/>
                <w:szCs w:val="18"/>
              </w:rPr>
              <w:t>3031</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7ED51380" w14:textId="6A008A12" w:rsidR="004A477C" w:rsidRPr="004A477C" w:rsidRDefault="004A477C" w:rsidP="004A477C">
            <w:pPr>
              <w:widowControl w:val="0"/>
              <w:spacing w:line="240" w:lineRule="auto"/>
              <w:jc w:val="right"/>
              <w:rPr>
                <w:sz w:val="18"/>
                <w:szCs w:val="18"/>
              </w:rPr>
            </w:pPr>
            <w:r w:rsidRPr="004A477C">
              <w:rPr>
                <w:sz w:val="18"/>
                <w:szCs w:val="18"/>
              </w:rPr>
              <w:t>22.0</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4F5A13D4" w14:textId="5A4C920E" w:rsidR="004A477C" w:rsidRPr="004A477C" w:rsidRDefault="004A477C" w:rsidP="004A477C">
            <w:pPr>
              <w:widowControl w:val="0"/>
              <w:spacing w:line="240" w:lineRule="auto"/>
              <w:jc w:val="right"/>
              <w:rPr>
                <w:sz w:val="18"/>
                <w:szCs w:val="18"/>
              </w:rPr>
            </w:pPr>
            <w:r w:rsidRPr="004A477C">
              <w:rPr>
                <w:sz w:val="18"/>
                <w:szCs w:val="18"/>
              </w:rPr>
              <w:t>66</w:t>
            </w:r>
          </w:p>
        </w:tc>
        <w:tc>
          <w:tcPr>
            <w:tcW w:w="837" w:type="dxa"/>
            <w:shd w:val="clear" w:color="auto" w:fill="auto"/>
            <w:tcMar>
              <w:top w:w="0" w:type="dxa"/>
              <w:left w:w="0" w:type="dxa"/>
              <w:bottom w:w="0" w:type="dxa"/>
              <w:right w:w="0" w:type="dxa"/>
            </w:tcMar>
            <w:vAlign w:val="center"/>
          </w:tcPr>
          <w:p w14:paraId="4DB78F72" w14:textId="07F0AE0B" w:rsidR="004A477C" w:rsidRPr="004A477C" w:rsidRDefault="004A477C" w:rsidP="004A477C">
            <w:pPr>
              <w:widowControl w:val="0"/>
              <w:spacing w:line="240" w:lineRule="auto"/>
              <w:jc w:val="right"/>
              <w:rPr>
                <w:sz w:val="18"/>
                <w:szCs w:val="18"/>
              </w:rPr>
            </w:pPr>
            <w:r w:rsidRPr="004A477C">
              <w:rPr>
                <w:sz w:val="18"/>
                <w:szCs w:val="18"/>
              </w:rPr>
              <w:t>34.9</w:t>
            </w:r>
          </w:p>
        </w:tc>
      </w:tr>
      <w:tr w:rsidR="008806CA" w:rsidRPr="004A477C" w14:paraId="52EC7D4A" w14:textId="77777777" w:rsidTr="008806CA">
        <w:trPr>
          <w:trHeight w:val="144"/>
        </w:trPr>
        <w:tc>
          <w:tcPr>
            <w:tcW w:w="4655" w:type="dxa"/>
            <w:shd w:val="clear" w:color="auto" w:fill="auto"/>
            <w:tcMar>
              <w:top w:w="0" w:type="dxa"/>
              <w:left w:w="0" w:type="dxa"/>
              <w:bottom w:w="0" w:type="dxa"/>
              <w:right w:w="0" w:type="dxa"/>
            </w:tcMar>
            <w:vAlign w:val="center"/>
          </w:tcPr>
          <w:p w14:paraId="215946D5" w14:textId="4F16A556" w:rsidR="004A477C" w:rsidRPr="004A477C" w:rsidRDefault="004A477C" w:rsidP="004A477C">
            <w:pPr>
              <w:widowControl w:val="0"/>
              <w:spacing w:line="240" w:lineRule="auto"/>
              <w:rPr>
                <w:sz w:val="18"/>
                <w:szCs w:val="18"/>
              </w:rPr>
            </w:pPr>
            <w:r w:rsidRPr="004A477C">
              <w:rPr>
                <w:sz w:val="18"/>
                <w:szCs w:val="18"/>
              </w:rPr>
              <w:t>Nuisance</w:t>
            </w:r>
          </w:p>
        </w:tc>
        <w:tc>
          <w:tcPr>
            <w:tcW w:w="1350" w:type="dxa"/>
            <w:tcBorders>
              <w:right w:val="single" w:sz="4" w:space="0" w:color="808080" w:themeColor="background1" w:themeShade="80"/>
            </w:tcBorders>
            <w:vAlign w:val="center"/>
          </w:tcPr>
          <w:p w14:paraId="7A9AFBE8" w14:textId="266C4ACA" w:rsidR="004A477C" w:rsidRPr="004A477C" w:rsidRDefault="008806CA" w:rsidP="004A477C">
            <w:pPr>
              <w:widowControl w:val="0"/>
              <w:spacing w:line="240" w:lineRule="auto"/>
              <w:jc w:val="center"/>
              <w:rPr>
                <w:sz w:val="18"/>
                <w:szCs w:val="18"/>
              </w:rPr>
            </w:pPr>
            <w:r>
              <w:rPr>
                <w:sz w:val="18"/>
                <w:szCs w:val="18"/>
              </w:rPr>
              <w:t>B</w:t>
            </w:r>
            <w:r w:rsidR="004A477C">
              <w:rPr>
                <w:sz w:val="18"/>
                <w:szCs w:val="18"/>
              </w:rPr>
              <w:t>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78FF0AD4" w14:textId="432EEF31" w:rsidR="004A477C" w:rsidRPr="004A477C" w:rsidRDefault="004A477C" w:rsidP="004A477C">
            <w:pPr>
              <w:widowControl w:val="0"/>
              <w:spacing w:line="240" w:lineRule="auto"/>
              <w:jc w:val="right"/>
              <w:rPr>
                <w:sz w:val="18"/>
                <w:szCs w:val="18"/>
              </w:rPr>
            </w:pPr>
            <w:r w:rsidRPr="004A477C">
              <w:rPr>
                <w:sz w:val="18"/>
                <w:szCs w:val="18"/>
              </w:rPr>
              <w:t>1621</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6B4F62B8" w14:textId="0A774118" w:rsidR="004A477C" w:rsidRPr="004A477C" w:rsidRDefault="004A477C" w:rsidP="004A477C">
            <w:pPr>
              <w:widowControl w:val="0"/>
              <w:spacing w:line="240" w:lineRule="auto"/>
              <w:jc w:val="right"/>
              <w:rPr>
                <w:sz w:val="18"/>
                <w:szCs w:val="18"/>
              </w:rPr>
            </w:pPr>
            <w:r w:rsidRPr="004A477C">
              <w:rPr>
                <w:sz w:val="18"/>
                <w:szCs w:val="18"/>
              </w:rPr>
              <w:t>11.8</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5F8B28D9" w14:textId="1B040A91" w:rsidR="004A477C" w:rsidRPr="004A477C" w:rsidRDefault="004A477C" w:rsidP="004A477C">
            <w:pPr>
              <w:widowControl w:val="0"/>
              <w:spacing w:line="240" w:lineRule="auto"/>
              <w:jc w:val="right"/>
              <w:rPr>
                <w:sz w:val="18"/>
                <w:szCs w:val="18"/>
              </w:rPr>
            </w:pPr>
            <w:r w:rsidRPr="004A477C">
              <w:rPr>
                <w:sz w:val="18"/>
                <w:szCs w:val="18"/>
              </w:rPr>
              <w:t>28</w:t>
            </w:r>
          </w:p>
        </w:tc>
        <w:tc>
          <w:tcPr>
            <w:tcW w:w="837" w:type="dxa"/>
            <w:shd w:val="clear" w:color="auto" w:fill="auto"/>
            <w:tcMar>
              <w:top w:w="0" w:type="dxa"/>
              <w:left w:w="0" w:type="dxa"/>
              <w:bottom w:w="0" w:type="dxa"/>
              <w:right w:w="0" w:type="dxa"/>
            </w:tcMar>
            <w:vAlign w:val="center"/>
          </w:tcPr>
          <w:p w14:paraId="78AAFE58" w14:textId="3AAA3783" w:rsidR="004A477C" w:rsidRPr="004A477C" w:rsidRDefault="004A477C" w:rsidP="004A477C">
            <w:pPr>
              <w:widowControl w:val="0"/>
              <w:spacing w:line="240" w:lineRule="auto"/>
              <w:jc w:val="right"/>
              <w:rPr>
                <w:sz w:val="18"/>
                <w:szCs w:val="18"/>
              </w:rPr>
            </w:pPr>
            <w:r w:rsidRPr="004A477C">
              <w:rPr>
                <w:sz w:val="18"/>
                <w:szCs w:val="18"/>
              </w:rPr>
              <w:t>14.8</w:t>
            </w:r>
          </w:p>
        </w:tc>
      </w:tr>
      <w:tr w:rsidR="008806CA" w:rsidRPr="004A477C" w14:paraId="059090EC" w14:textId="77777777" w:rsidTr="008806CA">
        <w:trPr>
          <w:trHeight w:val="144"/>
        </w:trPr>
        <w:tc>
          <w:tcPr>
            <w:tcW w:w="4655" w:type="dxa"/>
            <w:shd w:val="clear" w:color="auto" w:fill="auto"/>
            <w:tcMar>
              <w:top w:w="0" w:type="dxa"/>
              <w:left w:w="0" w:type="dxa"/>
              <w:bottom w:w="0" w:type="dxa"/>
              <w:right w:w="0" w:type="dxa"/>
            </w:tcMar>
            <w:vAlign w:val="center"/>
          </w:tcPr>
          <w:p w14:paraId="558F5B85" w14:textId="358536E3" w:rsidR="004A477C" w:rsidRPr="004A477C" w:rsidRDefault="004A477C" w:rsidP="004A477C">
            <w:pPr>
              <w:widowControl w:val="0"/>
              <w:spacing w:line="240" w:lineRule="auto"/>
              <w:rPr>
                <w:sz w:val="18"/>
                <w:szCs w:val="18"/>
              </w:rPr>
            </w:pPr>
            <w:r w:rsidRPr="004A477C">
              <w:rPr>
                <w:sz w:val="18"/>
                <w:szCs w:val="18"/>
              </w:rPr>
              <w:t>O</w:t>
            </w:r>
            <w:r w:rsidR="008806CA">
              <w:rPr>
                <w:sz w:val="18"/>
                <w:szCs w:val="18"/>
              </w:rPr>
              <w:t xml:space="preserve">wner </w:t>
            </w:r>
            <w:r w:rsidRPr="004A477C">
              <w:rPr>
                <w:sz w:val="18"/>
                <w:szCs w:val="18"/>
              </w:rPr>
              <w:t>M</w:t>
            </w:r>
            <w:r w:rsidR="008806CA">
              <w:rPr>
                <w:sz w:val="18"/>
                <w:szCs w:val="18"/>
              </w:rPr>
              <w:t>ove-in (OMI)</w:t>
            </w:r>
          </w:p>
        </w:tc>
        <w:tc>
          <w:tcPr>
            <w:tcW w:w="1350" w:type="dxa"/>
            <w:tcBorders>
              <w:right w:val="single" w:sz="4" w:space="0" w:color="808080" w:themeColor="background1" w:themeShade="80"/>
            </w:tcBorders>
            <w:vAlign w:val="center"/>
          </w:tcPr>
          <w:p w14:paraId="074A8551" w14:textId="4A155EA6" w:rsidR="004A477C" w:rsidRPr="004A477C" w:rsidRDefault="004A477C" w:rsidP="004A477C">
            <w:pPr>
              <w:widowControl w:val="0"/>
              <w:spacing w:line="240" w:lineRule="auto"/>
              <w:jc w:val="center"/>
              <w:rPr>
                <w:sz w:val="18"/>
                <w:szCs w:val="18"/>
              </w:rPr>
            </w:pPr>
            <w:r>
              <w:rPr>
                <w:sz w:val="18"/>
                <w:szCs w:val="18"/>
              </w:rPr>
              <w:t>No-fault</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77B6DCC6" w14:textId="26BEF85B" w:rsidR="004A477C" w:rsidRPr="004A477C" w:rsidRDefault="004A477C" w:rsidP="004A477C">
            <w:pPr>
              <w:widowControl w:val="0"/>
              <w:spacing w:line="240" w:lineRule="auto"/>
              <w:jc w:val="right"/>
              <w:rPr>
                <w:sz w:val="18"/>
                <w:szCs w:val="18"/>
              </w:rPr>
            </w:pPr>
            <w:r w:rsidRPr="004A477C">
              <w:rPr>
                <w:sz w:val="18"/>
                <w:szCs w:val="18"/>
              </w:rPr>
              <w:t>1177</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3D408181" w14:textId="2D55B239" w:rsidR="004A477C" w:rsidRPr="004A477C" w:rsidRDefault="004A477C" w:rsidP="004A477C">
            <w:pPr>
              <w:widowControl w:val="0"/>
              <w:spacing w:line="240" w:lineRule="auto"/>
              <w:jc w:val="right"/>
              <w:rPr>
                <w:sz w:val="18"/>
                <w:szCs w:val="18"/>
              </w:rPr>
            </w:pPr>
            <w:r w:rsidRPr="004A477C">
              <w:rPr>
                <w:sz w:val="18"/>
                <w:szCs w:val="18"/>
              </w:rPr>
              <w:t>8.5</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6EB50927" w14:textId="46DCC047" w:rsidR="004A477C" w:rsidRPr="004A477C" w:rsidRDefault="004A477C" w:rsidP="004A477C">
            <w:pPr>
              <w:widowControl w:val="0"/>
              <w:spacing w:line="240" w:lineRule="auto"/>
              <w:jc w:val="right"/>
              <w:rPr>
                <w:sz w:val="18"/>
                <w:szCs w:val="18"/>
              </w:rPr>
            </w:pPr>
            <w:r w:rsidRPr="004A477C">
              <w:rPr>
                <w:sz w:val="18"/>
                <w:szCs w:val="18"/>
              </w:rPr>
              <w:t>3</w:t>
            </w:r>
          </w:p>
        </w:tc>
        <w:tc>
          <w:tcPr>
            <w:tcW w:w="837" w:type="dxa"/>
            <w:shd w:val="clear" w:color="auto" w:fill="auto"/>
            <w:tcMar>
              <w:top w:w="0" w:type="dxa"/>
              <w:left w:w="0" w:type="dxa"/>
              <w:bottom w:w="0" w:type="dxa"/>
              <w:right w:w="0" w:type="dxa"/>
            </w:tcMar>
            <w:vAlign w:val="center"/>
          </w:tcPr>
          <w:p w14:paraId="322D0E76" w14:textId="4A8DD5B3" w:rsidR="004A477C" w:rsidRPr="004A477C" w:rsidRDefault="004A477C" w:rsidP="004A477C">
            <w:pPr>
              <w:widowControl w:val="0"/>
              <w:spacing w:line="240" w:lineRule="auto"/>
              <w:jc w:val="right"/>
              <w:rPr>
                <w:sz w:val="18"/>
                <w:szCs w:val="18"/>
              </w:rPr>
            </w:pPr>
            <w:r w:rsidRPr="004A477C">
              <w:rPr>
                <w:sz w:val="18"/>
                <w:szCs w:val="18"/>
              </w:rPr>
              <w:t>1.6</w:t>
            </w:r>
          </w:p>
        </w:tc>
      </w:tr>
      <w:tr w:rsidR="008806CA" w:rsidRPr="004A477C" w14:paraId="71047B80" w14:textId="77777777" w:rsidTr="008806CA">
        <w:trPr>
          <w:trHeight w:val="144"/>
        </w:trPr>
        <w:tc>
          <w:tcPr>
            <w:tcW w:w="4655" w:type="dxa"/>
            <w:shd w:val="clear" w:color="auto" w:fill="auto"/>
            <w:tcMar>
              <w:top w:w="0" w:type="dxa"/>
              <w:left w:w="0" w:type="dxa"/>
              <w:bottom w:w="0" w:type="dxa"/>
              <w:right w:w="0" w:type="dxa"/>
            </w:tcMar>
            <w:vAlign w:val="center"/>
          </w:tcPr>
          <w:p w14:paraId="16146F39" w14:textId="05472023" w:rsidR="004A477C" w:rsidRPr="004A477C" w:rsidRDefault="004A477C" w:rsidP="004A477C">
            <w:pPr>
              <w:widowControl w:val="0"/>
              <w:spacing w:line="240" w:lineRule="auto"/>
              <w:rPr>
                <w:sz w:val="18"/>
                <w:szCs w:val="18"/>
              </w:rPr>
            </w:pPr>
            <w:r w:rsidRPr="004A477C">
              <w:rPr>
                <w:sz w:val="18"/>
                <w:szCs w:val="18"/>
              </w:rPr>
              <w:t>Capital Improvement</w:t>
            </w:r>
          </w:p>
        </w:tc>
        <w:tc>
          <w:tcPr>
            <w:tcW w:w="1350" w:type="dxa"/>
            <w:tcBorders>
              <w:right w:val="single" w:sz="4" w:space="0" w:color="808080" w:themeColor="background1" w:themeShade="80"/>
            </w:tcBorders>
            <w:vAlign w:val="center"/>
          </w:tcPr>
          <w:p w14:paraId="1BB53A34" w14:textId="2379664D" w:rsidR="004A477C" w:rsidRPr="004A477C" w:rsidRDefault="004A477C" w:rsidP="004A477C">
            <w:pPr>
              <w:widowControl w:val="0"/>
              <w:spacing w:line="240" w:lineRule="auto"/>
              <w:jc w:val="center"/>
              <w:rPr>
                <w:sz w:val="18"/>
                <w:szCs w:val="18"/>
              </w:rPr>
            </w:pPr>
            <w:r>
              <w:rPr>
                <w:sz w:val="18"/>
                <w:szCs w:val="18"/>
              </w:rPr>
              <w:t>No-fault</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28FBAE1B" w14:textId="50E92820" w:rsidR="004A477C" w:rsidRPr="004A477C" w:rsidRDefault="004A477C" w:rsidP="004A477C">
            <w:pPr>
              <w:widowControl w:val="0"/>
              <w:spacing w:line="240" w:lineRule="auto"/>
              <w:jc w:val="right"/>
              <w:rPr>
                <w:sz w:val="18"/>
                <w:szCs w:val="18"/>
              </w:rPr>
            </w:pPr>
            <w:r w:rsidRPr="004A477C">
              <w:rPr>
                <w:sz w:val="18"/>
                <w:szCs w:val="18"/>
              </w:rPr>
              <w:t>518</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5A5317D3" w14:textId="6AE9D9B0" w:rsidR="004A477C" w:rsidRPr="004A477C" w:rsidRDefault="004A477C" w:rsidP="004A477C">
            <w:pPr>
              <w:widowControl w:val="0"/>
              <w:spacing w:line="240" w:lineRule="auto"/>
              <w:jc w:val="right"/>
              <w:rPr>
                <w:sz w:val="18"/>
                <w:szCs w:val="18"/>
              </w:rPr>
            </w:pPr>
            <w:r w:rsidRPr="004A477C">
              <w:rPr>
                <w:sz w:val="18"/>
                <w:szCs w:val="18"/>
              </w:rPr>
              <w:t>3.8</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40C5E793" w14:textId="4D7F02B0" w:rsidR="004A477C" w:rsidRPr="004A477C" w:rsidRDefault="004A477C" w:rsidP="004A477C">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0351B7CA" w14:textId="672F7E29" w:rsidR="004A477C" w:rsidRPr="004A477C" w:rsidRDefault="004A477C" w:rsidP="004A477C">
            <w:pPr>
              <w:widowControl w:val="0"/>
              <w:spacing w:line="240" w:lineRule="auto"/>
              <w:jc w:val="right"/>
              <w:rPr>
                <w:sz w:val="18"/>
                <w:szCs w:val="18"/>
              </w:rPr>
            </w:pPr>
            <w:r w:rsidRPr="004A477C">
              <w:rPr>
                <w:sz w:val="18"/>
                <w:szCs w:val="18"/>
              </w:rPr>
              <w:t>--</w:t>
            </w:r>
          </w:p>
        </w:tc>
      </w:tr>
      <w:tr w:rsidR="008806CA" w:rsidRPr="004A477C" w14:paraId="5878C622" w14:textId="77777777" w:rsidTr="008806CA">
        <w:trPr>
          <w:trHeight w:val="144"/>
        </w:trPr>
        <w:tc>
          <w:tcPr>
            <w:tcW w:w="4655" w:type="dxa"/>
            <w:shd w:val="clear" w:color="auto" w:fill="auto"/>
            <w:tcMar>
              <w:top w:w="0" w:type="dxa"/>
              <w:left w:w="0" w:type="dxa"/>
              <w:bottom w:w="0" w:type="dxa"/>
              <w:right w:w="0" w:type="dxa"/>
            </w:tcMar>
            <w:vAlign w:val="center"/>
          </w:tcPr>
          <w:p w14:paraId="5402C367" w14:textId="5B1B7A8F" w:rsidR="004A477C" w:rsidRPr="004A477C" w:rsidRDefault="004A477C" w:rsidP="004A477C">
            <w:pPr>
              <w:widowControl w:val="0"/>
              <w:spacing w:line="240" w:lineRule="auto"/>
              <w:rPr>
                <w:sz w:val="18"/>
                <w:szCs w:val="18"/>
              </w:rPr>
            </w:pPr>
            <w:r w:rsidRPr="004A477C">
              <w:rPr>
                <w:sz w:val="18"/>
                <w:szCs w:val="18"/>
              </w:rPr>
              <w:t>Non-payment of Rent</w:t>
            </w:r>
          </w:p>
        </w:tc>
        <w:tc>
          <w:tcPr>
            <w:tcW w:w="1350" w:type="dxa"/>
            <w:tcBorders>
              <w:right w:val="single" w:sz="4" w:space="0" w:color="808080" w:themeColor="background1" w:themeShade="80"/>
            </w:tcBorders>
            <w:vAlign w:val="center"/>
          </w:tcPr>
          <w:p w14:paraId="53316BB8" w14:textId="409758D5" w:rsidR="004A477C" w:rsidRPr="004A477C" w:rsidRDefault="004A477C" w:rsidP="004A477C">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090F388A" w14:textId="1286A9EC" w:rsidR="004A477C" w:rsidRPr="004A477C" w:rsidRDefault="004A477C" w:rsidP="004A477C">
            <w:pPr>
              <w:widowControl w:val="0"/>
              <w:spacing w:line="240" w:lineRule="auto"/>
              <w:jc w:val="right"/>
              <w:rPr>
                <w:sz w:val="18"/>
                <w:szCs w:val="18"/>
              </w:rPr>
            </w:pPr>
            <w:r w:rsidRPr="004A477C">
              <w:rPr>
                <w:sz w:val="18"/>
                <w:szCs w:val="18"/>
              </w:rPr>
              <w:t>487</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27F8ABC0" w14:textId="111C751F" w:rsidR="004A477C" w:rsidRPr="004A477C" w:rsidRDefault="004A477C" w:rsidP="004A477C">
            <w:pPr>
              <w:widowControl w:val="0"/>
              <w:spacing w:line="240" w:lineRule="auto"/>
              <w:jc w:val="right"/>
              <w:rPr>
                <w:sz w:val="18"/>
                <w:szCs w:val="18"/>
              </w:rPr>
            </w:pPr>
            <w:r w:rsidRPr="004A477C">
              <w:rPr>
                <w:sz w:val="18"/>
                <w:szCs w:val="18"/>
              </w:rPr>
              <w:t>3.5</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09E19F46" w14:textId="406177C8" w:rsidR="004A477C" w:rsidRPr="004A477C" w:rsidRDefault="004A477C" w:rsidP="004A477C">
            <w:pPr>
              <w:widowControl w:val="0"/>
              <w:spacing w:line="240" w:lineRule="auto"/>
              <w:jc w:val="right"/>
              <w:rPr>
                <w:sz w:val="18"/>
                <w:szCs w:val="18"/>
              </w:rPr>
            </w:pPr>
            <w:r w:rsidRPr="004A477C">
              <w:rPr>
                <w:sz w:val="18"/>
                <w:szCs w:val="18"/>
              </w:rPr>
              <w:t>11</w:t>
            </w:r>
          </w:p>
        </w:tc>
        <w:tc>
          <w:tcPr>
            <w:tcW w:w="837" w:type="dxa"/>
            <w:shd w:val="clear" w:color="auto" w:fill="auto"/>
            <w:tcMar>
              <w:top w:w="0" w:type="dxa"/>
              <w:left w:w="0" w:type="dxa"/>
              <w:bottom w:w="0" w:type="dxa"/>
              <w:right w:w="0" w:type="dxa"/>
            </w:tcMar>
            <w:vAlign w:val="center"/>
          </w:tcPr>
          <w:p w14:paraId="2FA7EE96" w14:textId="1D80E6BA" w:rsidR="004A477C" w:rsidRPr="004A477C" w:rsidRDefault="004A477C" w:rsidP="004A477C">
            <w:pPr>
              <w:widowControl w:val="0"/>
              <w:spacing w:line="240" w:lineRule="auto"/>
              <w:jc w:val="right"/>
              <w:rPr>
                <w:sz w:val="18"/>
                <w:szCs w:val="18"/>
              </w:rPr>
            </w:pPr>
            <w:r w:rsidRPr="004A477C">
              <w:rPr>
                <w:sz w:val="18"/>
                <w:szCs w:val="18"/>
              </w:rPr>
              <w:t>5.8</w:t>
            </w:r>
          </w:p>
        </w:tc>
      </w:tr>
      <w:tr w:rsidR="008806CA" w:rsidRPr="004A477C" w14:paraId="61A5B1D7" w14:textId="77777777" w:rsidTr="008806CA">
        <w:trPr>
          <w:trHeight w:val="144"/>
        </w:trPr>
        <w:tc>
          <w:tcPr>
            <w:tcW w:w="4655" w:type="dxa"/>
            <w:shd w:val="clear" w:color="auto" w:fill="auto"/>
            <w:tcMar>
              <w:top w:w="0" w:type="dxa"/>
              <w:left w:w="0" w:type="dxa"/>
              <w:bottom w:w="0" w:type="dxa"/>
              <w:right w:w="0" w:type="dxa"/>
            </w:tcMar>
            <w:vAlign w:val="center"/>
          </w:tcPr>
          <w:p w14:paraId="2C55F7CB" w14:textId="6FAE77DA" w:rsidR="004A477C" w:rsidRPr="004A477C" w:rsidRDefault="004A477C" w:rsidP="004A477C">
            <w:pPr>
              <w:widowControl w:val="0"/>
              <w:spacing w:line="240" w:lineRule="auto"/>
              <w:rPr>
                <w:sz w:val="18"/>
                <w:szCs w:val="18"/>
              </w:rPr>
            </w:pPr>
            <w:r w:rsidRPr="004A477C">
              <w:rPr>
                <w:sz w:val="18"/>
                <w:szCs w:val="18"/>
              </w:rPr>
              <w:t>Habitual Late Payment of Rent</w:t>
            </w:r>
          </w:p>
        </w:tc>
        <w:tc>
          <w:tcPr>
            <w:tcW w:w="1350" w:type="dxa"/>
            <w:tcBorders>
              <w:right w:val="single" w:sz="4" w:space="0" w:color="808080" w:themeColor="background1" w:themeShade="80"/>
            </w:tcBorders>
            <w:vAlign w:val="center"/>
          </w:tcPr>
          <w:p w14:paraId="1DB85295" w14:textId="44110D7E" w:rsidR="004A477C" w:rsidRPr="004A477C" w:rsidRDefault="004A477C" w:rsidP="004A477C">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791000BB" w14:textId="29FE5965" w:rsidR="004A477C" w:rsidRPr="004A477C" w:rsidRDefault="004A477C" w:rsidP="004A477C">
            <w:pPr>
              <w:widowControl w:val="0"/>
              <w:spacing w:line="240" w:lineRule="auto"/>
              <w:jc w:val="right"/>
              <w:rPr>
                <w:sz w:val="18"/>
                <w:szCs w:val="18"/>
              </w:rPr>
            </w:pPr>
            <w:r w:rsidRPr="004A477C">
              <w:rPr>
                <w:sz w:val="18"/>
                <w:szCs w:val="18"/>
              </w:rPr>
              <w:t>399</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75F90BE7" w14:textId="480D7DF6" w:rsidR="004A477C" w:rsidRPr="004A477C" w:rsidRDefault="004A477C" w:rsidP="004A477C">
            <w:pPr>
              <w:widowControl w:val="0"/>
              <w:spacing w:line="240" w:lineRule="auto"/>
              <w:jc w:val="right"/>
              <w:rPr>
                <w:sz w:val="18"/>
                <w:szCs w:val="18"/>
              </w:rPr>
            </w:pPr>
            <w:r w:rsidRPr="004A477C">
              <w:rPr>
                <w:sz w:val="18"/>
                <w:szCs w:val="18"/>
              </w:rPr>
              <w:t>2.9</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6E4A946D" w14:textId="29DAAFA8" w:rsidR="004A477C" w:rsidRPr="004A477C" w:rsidRDefault="004A477C" w:rsidP="004A477C">
            <w:pPr>
              <w:widowControl w:val="0"/>
              <w:spacing w:line="240" w:lineRule="auto"/>
              <w:jc w:val="right"/>
              <w:rPr>
                <w:sz w:val="18"/>
                <w:szCs w:val="18"/>
              </w:rPr>
            </w:pPr>
            <w:r w:rsidRPr="004A477C">
              <w:rPr>
                <w:sz w:val="18"/>
                <w:szCs w:val="18"/>
              </w:rPr>
              <w:t>4</w:t>
            </w:r>
          </w:p>
        </w:tc>
        <w:tc>
          <w:tcPr>
            <w:tcW w:w="837" w:type="dxa"/>
            <w:shd w:val="clear" w:color="auto" w:fill="auto"/>
            <w:tcMar>
              <w:top w:w="0" w:type="dxa"/>
              <w:left w:w="0" w:type="dxa"/>
              <w:bottom w:w="0" w:type="dxa"/>
              <w:right w:w="0" w:type="dxa"/>
            </w:tcMar>
            <w:vAlign w:val="center"/>
          </w:tcPr>
          <w:p w14:paraId="3E2D0F03" w14:textId="7DAEF2D8" w:rsidR="004A477C" w:rsidRPr="004A477C" w:rsidRDefault="004A477C" w:rsidP="004A477C">
            <w:pPr>
              <w:widowControl w:val="0"/>
              <w:spacing w:line="240" w:lineRule="auto"/>
              <w:jc w:val="right"/>
              <w:rPr>
                <w:sz w:val="18"/>
                <w:szCs w:val="18"/>
              </w:rPr>
            </w:pPr>
            <w:r w:rsidRPr="004A477C">
              <w:rPr>
                <w:sz w:val="18"/>
                <w:szCs w:val="18"/>
              </w:rPr>
              <w:t>2.1</w:t>
            </w:r>
          </w:p>
        </w:tc>
      </w:tr>
      <w:tr w:rsidR="008806CA" w:rsidRPr="004A477C" w14:paraId="5C5D0999" w14:textId="77777777" w:rsidTr="008806CA">
        <w:trPr>
          <w:trHeight w:val="144"/>
        </w:trPr>
        <w:tc>
          <w:tcPr>
            <w:tcW w:w="4655" w:type="dxa"/>
            <w:shd w:val="clear" w:color="auto" w:fill="auto"/>
            <w:tcMar>
              <w:top w:w="0" w:type="dxa"/>
              <w:left w:w="0" w:type="dxa"/>
              <w:bottom w:w="0" w:type="dxa"/>
              <w:right w:w="0" w:type="dxa"/>
            </w:tcMar>
            <w:vAlign w:val="center"/>
          </w:tcPr>
          <w:p w14:paraId="2CA47773" w14:textId="1B59A322" w:rsidR="004A477C" w:rsidRPr="004A477C" w:rsidRDefault="004A477C" w:rsidP="004A477C">
            <w:pPr>
              <w:widowControl w:val="0"/>
              <w:spacing w:line="240" w:lineRule="auto"/>
              <w:rPr>
                <w:sz w:val="18"/>
                <w:szCs w:val="18"/>
              </w:rPr>
            </w:pPr>
            <w:r w:rsidRPr="004A477C">
              <w:rPr>
                <w:sz w:val="18"/>
                <w:szCs w:val="18"/>
              </w:rPr>
              <w:t>ELLIS</w:t>
            </w:r>
          </w:p>
        </w:tc>
        <w:tc>
          <w:tcPr>
            <w:tcW w:w="1350" w:type="dxa"/>
            <w:tcBorders>
              <w:right w:val="single" w:sz="4" w:space="0" w:color="808080" w:themeColor="background1" w:themeShade="80"/>
            </w:tcBorders>
            <w:vAlign w:val="center"/>
          </w:tcPr>
          <w:p w14:paraId="440FC320" w14:textId="5ADC3443" w:rsidR="004A477C" w:rsidRPr="004A477C" w:rsidRDefault="004A477C" w:rsidP="004A477C">
            <w:pPr>
              <w:widowControl w:val="0"/>
              <w:spacing w:line="240" w:lineRule="auto"/>
              <w:jc w:val="center"/>
              <w:rPr>
                <w:sz w:val="18"/>
                <w:szCs w:val="18"/>
              </w:rPr>
            </w:pPr>
            <w:r>
              <w:rPr>
                <w:sz w:val="18"/>
                <w:szCs w:val="18"/>
              </w:rPr>
              <w:t>No fault</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3C87314C" w14:textId="4344DE45" w:rsidR="004A477C" w:rsidRPr="004A477C" w:rsidRDefault="004A477C" w:rsidP="004A477C">
            <w:pPr>
              <w:widowControl w:val="0"/>
              <w:spacing w:line="240" w:lineRule="auto"/>
              <w:jc w:val="right"/>
              <w:rPr>
                <w:sz w:val="18"/>
                <w:szCs w:val="18"/>
              </w:rPr>
            </w:pPr>
            <w:r w:rsidRPr="004A477C">
              <w:rPr>
                <w:sz w:val="18"/>
                <w:szCs w:val="18"/>
              </w:rPr>
              <w:t>346</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297B0521" w14:textId="00508965" w:rsidR="004A477C" w:rsidRPr="004A477C" w:rsidRDefault="004A477C" w:rsidP="004A477C">
            <w:pPr>
              <w:widowControl w:val="0"/>
              <w:spacing w:line="240" w:lineRule="auto"/>
              <w:jc w:val="right"/>
              <w:rPr>
                <w:sz w:val="18"/>
                <w:szCs w:val="18"/>
              </w:rPr>
            </w:pPr>
            <w:r w:rsidRPr="004A477C">
              <w:rPr>
                <w:sz w:val="18"/>
                <w:szCs w:val="18"/>
              </w:rPr>
              <w:t>2.5</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6F8098A1" w14:textId="01ADAE4A" w:rsidR="004A477C" w:rsidRPr="004A477C" w:rsidRDefault="004A477C" w:rsidP="004A477C">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336C49EE" w14:textId="57BF78E5" w:rsidR="004A477C" w:rsidRPr="004A477C" w:rsidRDefault="004A477C" w:rsidP="004A477C">
            <w:pPr>
              <w:widowControl w:val="0"/>
              <w:spacing w:line="240" w:lineRule="auto"/>
              <w:jc w:val="right"/>
              <w:rPr>
                <w:sz w:val="18"/>
                <w:szCs w:val="18"/>
              </w:rPr>
            </w:pPr>
            <w:r w:rsidRPr="004A477C">
              <w:rPr>
                <w:sz w:val="18"/>
                <w:szCs w:val="18"/>
              </w:rPr>
              <w:t>--</w:t>
            </w:r>
          </w:p>
        </w:tc>
      </w:tr>
      <w:tr w:rsidR="008806CA" w:rsidRPr="004A477C" w14:paraId="6917D195" w14:textId="77777777" w:rsidTr="008806CA">
        <w:trPr>
          <w:trHeight w:val="144"/>
        </w:trPr>
        <w:tc>
          <w:tcPr>
            <w:tcW w:w="4655" w:type="dxa"/>
            <w:shd w:val="clear" w:color="auto" w:fill="auto"/>
            <w:tcMar>
              <w:top w:w="0" w:type="dxa"/>
              <w:left w:w="0" w:type="dxa"/>
              <w:bottom w:w="0" w:type="dxa"/>
              <w:right w:w="0" w:type="dxa"/>
            </w:tcMar>
            <w:vAlign w:val="center"/>
          </w:tcPr>
          <w:p w14:paraId="78462020" w14:textId="48E0E924" w:rsidR="004A477C" w:rsidRPr="004A477C" w:rsidRDefault="004A477C" w:rsidP="004A477C">
            <w:pPr>
              <w:widowControl w:val="0"/>
              <w:spacing w:line="240" w:lineRule="auto"/>
              <w:rPr>
                <w:sz w:val="18"/>
                <w:szCs w:val="18"/>
              </w:rPr>
            </w:pPr>
            <w:r w:rsidRPr="004A477C">
              <w:rPr>
                <w:sz w:val="18"/>
                <w:szCs w:val="18"/>
              </w:rPr>
              <w:t>Illegal Use of Unit</w:t>
            </w:r>
          </w:p>
        </w:tc>
        <w:tc>
          <w:tcPr>
            <w:tcW w:w="1350" w:type="dxa"/>
            <w:tcBorders>
              <w:right w:val="single" w:sz="4" w:space="0" w:color="808080" w:themeColor="background1" w:themeShade="80"/>
            </w:tcBorders>
            <w:vAlign w:val="center"/>
          </w:tcPr>
          <w:p w14:paraId="1E685DE6" w14:textId="3C8EDC56" w:rsidR="004A477C" w:rsidRPr="004A477C" w:rsidRDefault="004A477C" w:rsidP="004A477C">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354B5AE5" w14:textId="2BBD7619" w:rsidR="004A477C" w:rsidRPr="004A477C" w:rsidRDefault="004A477C" w:rsidP="004A477C">
            <w:pPr>
              <w:widowControl w:val="0"/>
              <w:spacing w:line="240" w:lineRule="auto"/>
              <w:jc w:val="right"/>
              <w:rPr>
                <w:sz w:val="18"/>
                <w:szCs w:val="18"/>
              </w:rPr>
            </w:pPr>
            <w:r w:rsidRPr="004A477C">
              <w:rPr>
                <w:sz w:val="18"/>
                <w:szCs w:val="18"/>
              </w:rPr>
              <w:t>199</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26EAD2FE" w14:textId="3A1310AA" w:rsidR="004A477C" w:rsidRPr="004A477C" w:rsidRDefault="004A477C" w:rsidP="004A477C">
            <w:pPr>
              <w:widowControl w:val="0"/>
              <w:spacing w:line="240" w:lineRule="auto"/>
              <w:jc w:val="right"/>
              <w:rPr>
                <w:sz w:val="18"/>
                <w:szCs w:val="18"/>
              </w:rPr>
            </w:pPr>
            <w:r w:rsidRPr="004A477C">
              <w:rPr>
                <w:sz w:val="18"/>
                <w:szCs w:val="18"/>
              </w:rPr>
              <w:t>1.4</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19AD1EE9" w14:textId="44407538" w:rsidR="004A477C" w:rsidRPr="004A477C" w:rsidRDefault="004A477C" w:rsidP="004A477C">
            <w:pPr>
              <w:widowControl w:val="0"/>
              <w:spacing w:line="240" w:lineRule="auto"/>
              <w:jc w:val="right"/>
              <w:rPr>
                <w:sz w:val="18"/>
                <w:szCs w:val="18"/>
              </w:rPr>
            </w:pPr>
            <w:r w:rsidRPr="004A477C">
              <w:rPr>
                <w:sz w:val="18"/>
                <w:szCs w:val="18"/>
              </w:rPr>
              <w:t>1</w:t>
            </w:r>
          </w:p>
        </w:tc>
        <w:tc>
          <w:tcPr>
            <w:tcW w:w="837" w:type="dxa"/>
            <w:shd w:val="clear" w:color="auto" w:fill="auto"/>
            <w:tcMar>
              <w:top w:w="0" w:type="dxa"/>
              <w:left w:w="0" w:type="dxa"/>
              <w:bottom w:w="0" w:type="dxa"/>
              <w:right w:w="0" w:type="dxa"/>
            </w:tcMar>
            <w:vAlign w:val="center"/>
          </w:tcPr>
          <w:p w14:paraId="218792CF" w14:textId="11B9F737" w:rsidR="004A477C" w:rsidRPr="004A477C" w:rsidRDefault="004A477C" w:rsidP="004A477C">
            <w:pPr>
              <w:widowControl w:val="0"/>
              <w:spacing w:line="240" w:lineRule="auto"/>
              <w:jc w:val="right"/>
              <w:rPr>
                <w:sz w:val="18"/>
                <w:szCs w:val="18"/>
              </w:rPr>
            </w:pPr>
            <w:r w:rsidRPr="004A477C">
              <w:rPr>
                <w:sz w:val="18"/>
                <w:szCs w:val="18"/>
              </w:rPr>
              <w:t>0.5</w:t>
            </w:r>
          </w:p>
        </w:tc>
      </w:tr>
      <w:tr w:rsidR="008806CA" w:rsidRPr="004A477C" w14:paraId="6A53F9E0" w14:textId="77777777" w:rsidTr="008806CA">
        <w:trPr>
          <w:trHeight w:val="144"/>
        </w:trPr>
        <w:tc>
          <w:tcPr>
            <w:tcW w:w="4655" w:type="dxa"/>
            <w:shd w:val="clear" w:color="auto" w:fill="auto"/>
            <w:tcMar>
              <w:top w:w="0" w:type="dxa"/>
              <w:left w:w="0" w:type="dxa"/>
              <w:bottom w:w="0" w:type="dxa"/>
              <w:right w:w="0" w:type="dxa"/>
            </w:tcMar>
            <w:vAlign w:val="center"/>
          </w:tcPr>
          <w:p w14:paraId="51D03EC8" w14:textId="0C485CE7" w:rsidR="004A477C" w:rsidRPr="004A477C" w:rsidRDefault="004A477C" w:rsidP="004A477C">
            <w:pPr>
              <w:widowControl w:val="0"/>
              <w:spacing w:line="240" w:lineRule="auto"/>
              <w:rPr>
                <w:sz w:val="18"/>
                <w:szCs w:val="18"/>
              </w:rPr>
            </w:pPr>
            <w:r w:rsidRPr="004A477C">
              <w:rPr>
                <w:sz w:val="18"/>
                <w:szCs w:val="18"/>
              </w:rPr>
              <w:t>Breach of Lease Agreement Nuisance</w:t>
            </w:r>
          </w:p>
        </w:tc>
        <w:tc>
          <w:tcPr>
            <w:tcW w:w="1350" w:type="dxa"/>
            <w:tcBorders>
              <w:right w:val="single" w:sz="4" w:space="0" w:color="808080" w:themeColor="background1" w:themeShade="80"/>
            </w:tcBorders>
            <w:vAlign w:val="center"/>
          </w:tcPr>
          <w:p w14:paraId="4BDC00B0" w14:textId="6C126AEA" w:rsidR="004A477C" w:rsidRPr="004A477C" w:rsidRDefault="004A477C" w:rsidP="004A477C">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3D056FF3" w14:textId="24E6F89A" w:rsidR="004A477C" w:rsidRPr="004A477C" w:rsidRDefault="004A477C" w:rsidP="004A477C">
            <w:pPr>
              <w:widowControl w:val="0"/>
              <w:spacing w:line="240" w:lineRule="auto"/>
              <w:jc w:val="right"/>
              <w:rPr>
                <w:sz w:val="18"/>
                <w:szCs w:val="18"/>
              </w:rPr>
            </w:pPr>
            <w:r w:rsidRPr="004A477C">
              <w:rPr>
                <w:sz w:val="18"/>
                <w:szCs w:val="18"/>
              </w:rPr>
              <w:t>182</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14A48955" w14:textId="15AAF230" w:rsidR="004A477C" w:rsidRPr="004A477C" w:rsidRDefault="004A477C" w:rsidP="004A477C">
            <w:pPr>
              <w:widowControl w:val="0"/>
              <w:spacing w:line="240" w:lineRule="auto"/>
              <w:jc w:val="right"/>
              <w:rPr>
                <w:sz w:val="18"/>
                <w:szCs w:val="18"/>
              </w:rPr>
            </w:pPr>
            <w:r w:rsidRPr="004A477C">
              <w:rPr>
                <w:sz w:val="18"/>
                <w:szCs w:val="18"/>
              </w:rPr>
              <w:t>1.3</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0735435F" w14:textId="2ED84E01" w:rsidR="004A477C" w:rsidRPr="004A477C" w:rsidRDefault="004A477C" w:rsidP="004A477C">
            <w:pPr>
              <w:widowControl w:val="0"/>
              <w:spacing w:line="240" w:lineRule="auto"/>
              <w:jc w:val="right"/>
              <w:rPr>
                <w:sz w:val="18"/>
                <w:szCs w:val="18"/>
              </w:rPr>
            </w:pPr>
            <w:r w:rsidRPr="004A477C">
              <w:rPr>
                <w:sz w:val="18"/>
                <w:szCs w:val="18"/>
              </w:rPr>
              <w:t>3</w:t>
            </w:r>
          </w:p>
        </w:tc>
        <w:tc>
          <w:tcPr>
            <w:tcW w:w="837" w:type="dxa"/>
            <w:shd w:val="clear" w:color="auto" w:fill="auto"/>
            <w:tcMar>
              <w:top w:w="0" w:type="dxa"/>
              <w:left w:w="0" w:type="dxa"/>
              <w:bottom w:w="0" w:type="dxa"/>
              <w:right w:w="0" w:type="dxa"/>
            </w:tcMar>
            <w:vAlign w:val="center"/>
          </w:tcPr>
          <w:p w14:paraId="21663D8C" w14:textId="05927916" w:rsidR="004A477C" w:rsidRPr="004A477C" w:rsidRDefault="004A477C" w:rsidP="004A477C">
            <w:pPr>
              <w:widowControl w:val="0"/>
              <w:spacing w:line="240" w:lineRule="auto"/>
              <w:jc w:val="right"/>
              <w:rPr>
                <w:sz w:val="18"/>
                <w:szCs w:val="18"/>
              </w:rPr>
            </w:pPr>
            <w:r w:rsidRPr="004A477C">
              <w:rPr>
                <w:sz w:val="18"/>
                <w:szCs w:val="18"/>
              </w:rPr>
              <w:t>1.6</w:t>
            </w:r>
          </w:p>
        </w:tc>
      </w:tr>
      <w:tr w:rsidR="008806CA" w:rsidRPr="004A477C" w14:paraId="3904F6D9" w14:textId="77777777" w:rsidTr="008806CA">
        <w:trPr>
          <w:trHeight w:val="144"/>
        </w:trPr>
        <w:tc>
          <w:tcPr>
            <w:tcW w:w="4655" w:type="dxa"/>
            <w:shd w:val="clear" w:color="auto" w:fill="auto"/>
            <w:tcMar>
              <w:top w:w="0" w:type="dxa"/>
              <w:left w:w="0" w:type="dxa"/>
              <w:bottom w:w="0" w:type="dxa"/>
              <w:right w:w="0" w:type="dxa"/>
            </w:tcMar>
            <w:vAlign w:val="center"/>
          </w:tcPr>
          <w:p w14:paraId="32A5F44C" w14:textId="1C129AC4" w:rsidR="004A477C" w:rsidRPr="004A477C" w:rsidRDefault="004A477C" w:rsidP="004A477C">
            <w:pPr>
              <w:widowControl w:val="0"/>
              <w:spacing w:line="240" w:lineRule="auto"/>
              <w:rPr>
                <w:sz w:val="18"/>
                <w:szCs w:val="18"/>
              </w:rPr>
            </w:pPr>
            <w:r w:rsidRPr="004A477C">
              <w:rPr>
                <w:sz w:val="18"/>
                <w:szCs w:val="18"/>
              </w:rPr>
              <w:t>Roommate Living in Same Unit</w:t>
            </w:r>
          </w:p>
        </w:tc>
        <w:tc>
          <w:tcPr>
            <w:tcW w:w="1350" w:type="dxa"/>
            <w:tcBorders>
              <w:right w:val="single" w:sz="4" w:space="0" w:color="808080" w:themeColor="background1" w:themeShade="80"/>
            </w:tcBorders>
            <w:vAlign w:val="center"/>
          </w:tcPr>
          <w:p w14:paraId="491D5C20" w14:textId="24C76200" w:rsidR="004A477C" w:rsidRPr="004A477C" w:rsidRDefault="004A477C" w:rsidP="004A477C">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2399CCFF" w14:textId="52134A7C" w:rsidR="004A477C" w:rsidRPr="004A477C" w:rsidRDefault="004A477C" w:rsidP="004A477C">
            <w:pPr>
              <w:widowControl w:val="0"/>
              <w:spacing w:line="240" w:lineRule="auto"/>
              <w:jc w:val="right"/>
              <w:rPr>
                <w:sz w:val="18"/>
                <w:szCs w:val="18"/>
              </w:rPr>
            </w:pPr>
            <w:r w:rsidRPr="004A477C">
              <w:rPr>
                <w:sz w:val="18"/>
                <w:szCs w:val="18"/>
              </w:rPr>
              <w:t>119</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5E5A0DC1" w14:textId="6676E1D1" w:rsidR="004A477C" w:rsidRPr="004A477C" w:rsidRDefault="004A477C" w:rsidP="004A477C">
            <w:pPr>
              <w:widowControl w:val="0"/>
              <w:spacing w:line="240" w:lineRule="auto"/>
              <w:jc w:val="right"/>
              <w:rPr>
                <w:sz w:val="18"/>
                <w:szCs w:val="18"/>
              </w:rPr>
            </w:pPr>
            <w:r w:rsidRPr="004A477C">
              <w:rPr>
                <w:sz w:val="18"/>
                <w:szCs w:val="18"/>
              </w:rPr>
              <w:t>0.9</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3FCE8B04" w14:textId="22F3CBDF" w:rsidR="004A477C" w:rsidRPr="004A477C" w:rsidRDefault="004A477C" w:rsidP="004A477C">
            <w:pPr>
              <w:widowControl w:val="0"/>
              <w:spacing w:line="240" w:lineRule="auto"/>
              <w:jc w:val="right"/>
              <w:rPr>
                <w:sz w:val="18"/>
                <w:szCs w:val="18"/>
              </w:rPr>
            </w:pPr>
            <w:r w:rsidRPr="004A477C">
              <w:rPr>
                <w:sz w:val="18"/>
                <w:szCs w:val="18"/>
              </w:rPr>
              <w:t>3</w:t>
            </w:r>
          </w:p>
        </w:tc>
        <w:tc>
          <w:tcPr>
            <w:tcW w:w="837" w:type="dxa"/>
            <w:shd w:val="clear" w:color="auto" w:fill="auto"/>
            <w:tcMar>
              <w:top w:w="0" w:type="dxa"/>
              <w:left w:w="0" w:type="dxa"/>
              <w:bottom w:w="0" w:type="dxa"/>
              <w:right w:w="0" w:type="dxa"/>
            </w:tcMar>
            <w:vAlign w:val="center"/>
          </w:tcPr>
          <w:p w14:paraId="71B7F37D" w14:textId="3A1EADBC" w:rsidR="004A477C" w:rsidRPr="004A477C" w:rsidRDefault="004A477C" w:rsidP="004A477C">
            <w:pPr>
              <w:widowControl w:val="0"/>
              <w:spacing w:line="240" w:lineRule="auto"/>
              <w:jc w:val="right"/>
              <w:rPr>
                <w:sz w:val="18"/>
                <w:szCs w:val="18"/>
              </w:rPr>
            </w:pPr>
            <w:r w:rsidRPr="004A477C">
              <w:rPr>
                <w:sz w:val="18"/>
                <w:szCs w:val="18"/>
              </w:rPr>
              <w:t>1.6</w:t>
            </w:r>
          </w:p>
        </w:tc>
      </w:tr>
      <w:tr w:rsidR="008806CA" w:rsidRPr="004A477C" w14:paraId="5C138724" w14:textId="77777777" w:rsidTr="008806CA">
        <w:trPr>
          <w:trHeight w:val="144"/>
        </w:trPr>
        <w:tc>
          <w:tcPr>
            <w:tcW w:w="4655" w:type="dxa"/>
            <w:shd w:val="clear" w:color="auto" w:fill="auto"/>
            <w:tcMar>
              <w:top w:w="0" w:type="dxa"/>
              <w:left w:w="0" w:type="dxa"/>
              <w:bottom w:w="0" w:type="dxa"/>
              <w:right w:w="0" w:type="dxa"/>
            </w:tcMar>
            <w:vAlign w:val="center"/>
          </w:tcPr>
          <w:p w14:paraId="0E7EC72A" w14:textId="67A9B60B" w:rsidR="004A477C" w:rsidRPr="004A477C" w:rsidRDefault="004A477C" w:rsidP="004A477C">
            <w:pPr>
              <w:widowControl w:val="0"/>
              <w:spacing w:line="240" w:lineRule="auto"/>
              <w:rPr>
                <w:sz w:val="18"/>
                <w:szCs w:val="18"/>
              </w:rPr>
            </w:pPr>
            <w:r w:rsidRPr="004A477C">
              <w:rPr>
                <w:sz w:val="18"/>
                <w:szCs w:val="18"/>
              </w:rPr>
              <w:t>Unapproved Subtenant</w:t>
            </w:r>
          </w:p>
        </w:tc>
        <w:tc>
          <w:tcPr>
            <w:tcW w:w="1350" w:type="dxa"/>
            <w:tcBorders>
              <w:right w:val="single" w:sz="4" w:space="0" w:color="808080" w:themeColor="background1" w:themeShade="80"/>
            </w:tcBorders>
            <w:vAlign w:val="center"/>
          </w:tcPr>
          <w:p w14:paraId="482FB1B4" w14:textId="021E9BB5" w:rsidR="004A477C" w:rsidRPr="004A477C" w:rsidRDefault="004A477C" w:rsidP="004A477C">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30AB520D" w14:textId="066412BE" w:rsidR="004A477C" w:rsidRPr="004A477C" w:rsidRDefault="004A477C" w:rsidP="004A477C">
            <w:pPr>
              <w:widowControl w:val="0"/>
              <w:spacing w:line="240" w:lineRule="auto"/>
              <w:jc w:val="right"/>
              <w:rPr>
                <w:sz w:val="18"/>
                <w:szCs w:val="18"/>
              </w:rPr>
            </w:pPr>
            <w:r w:rsidRPr="004A477C">
              <w:rPr>
                <w:sz w:val="18"/>
                <w:szCs w:val="18"/>
              </w:rPr>
              <w:t>110</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3777949D" w14:textId="6123317B" w:rsidR="004A477C" w:rsidRPr="004A477C" w:rsidRDefault="004A477C" w:rsidP="004A477C">
            <w:pPr>
              <w:widowControl w:val="0"/>
              <w:spacing w:line="240" w:lineRule="auto"/>
              <w:jc w:val="right"/>
              <w:rPr>
                <w:sz w:val="18"/>
                <w:szCs w:val="18"/>
              </w:rPr>
            </w:pPr>
            <w:r w:rsidRPr="004A477C">
              <w:rPr>
                <w:sz w:val="18"/>
                <w:szCs w:val="18"/>
              </w:rPr>
              <w:t>0.8</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018D275A" w14:textId="698C40E2" w:rsidR="004A477C" w:rsidRPr="004A477C" w:rsidRDefault="004A477C" w:rsidP="004A477C">
            <w:pPr>
              <w:widowControl w:val="0"/>
              <w:spacing w:line="240" w:lineRule="auto"/>
              <w:jc w:val="right"/>
              <w:rPr>
                <w:sz w:val="18"/>
                <w:szCs w:val="18"/>
              </w:rPr>
            </w:pPr>
            <w:r w:rsidRPr="004A477C">
              <w:rPr>
                <w:sz w:val="18"/>
                <w:szCs w:val="18"/>
              </w:rPr>
              <w:t>1</w:t>
            </w:r>
          </w:p>
        </w:tc>
        <w:tc>
          <w:tcPr>
            <w:tcW w:w="837" w:type="dxa"/>
            <w:shd w:val="clear" w:color="auto" w:fill="auto"/>
            <w:tcMar>
              <w:top w:w="0" w:type="dxa"/>
              <w:left w:w="0" w:type="dxa"/>
              <w:bottom w:w="0" w:type="dxa"/>
              <w:right w:w="0" w:type="dxa"/>
            </w:tcMar>
            <w:vAlign w:val="center"/>
          </w:tcPr>
          <w:p w14:paraId="1F2B52C8" w14:textId="183E015C" w:rsidR="004A477C" w:rsidRPr="004A477C" w:rsidRDefault="004A477C" w:rsidP="004A477C">
            <w:pPr>
              <w:widowControl w:val="0"/>
              <w:spacing w:line="240" w:lineRule="auto"/>
              <w:jc w:val="right"/>
              <w:rPr>
                <w:sz w:val="18"/>
                <w:szCs w:val="18"/>
              </w:rPr>
            </w:pPr>
            <w:r w:rsidRPr="004A477C">
              <w:rPr>
                <w:sz w:val="18"/>
                <w:szCs w:val="18"/>
              </w:rPr>
              <w:t>0.5</w:t>
            </w:r>
          </w:p>
        </w:tc>
      </w:tr>
      <w:tr w:rsidR="008806CA" w:rsidRPr="004A477C" w14:paraId="01671E88" w14:textId="77777777" w:rsidTr="008806CA">
        <w:trPr>
          <w:trHeight w:val="144"/>
        </w:trPr>
        <w:tc>
          <w:tcPr>
            <w:tcW w:w="4655" w:type="dxa"/>
            <w:shd w:val="clear" w:color="auto" w:fill="auto"/>
            <w:tcMar>
              <w:top w:w="0" w:type="dxa"/>
              <w:left w:w="0" w:type="dxa"/>
              <w:bottom w:w="0" w:type="dxa"/>
              <w:right w:w="0" w:type="dxa"/>
            </w:tcMar>
            <w:vAlign w:val="center"/>
          </w:tcPr>
          <w:p w14:paraId="7434562A" w14:textId="70E15B61" w:rsidR="004A477C" w:rsidRPr="004A477C" w:rsidRDefault="004A477C" w:rsidP="004A477C">
            <w:pPr>
              <w:widowControl w:val="0"/>
              <w:spacing w:line="240" w:lineRule="auto"/>
              <w:rPr>
                <w:sz w:val="18"/>
                <w:szCs w:val="18"/>
              </w:rPr>
            </w:pPr>
            <w:r w:rsidRPr="004A477C">
              <w:rPr>
                <w:sz w:val="18"/>
                <w:szCs w:val="18"/>
              </w:rPr>
              <w:t>Other</w:t>
            </w:r>
          </w:p>
        </w:tc>
        <w:tc>
          <w:tcPr>
            <w:tcW w:w="1350" w:type="dxa"/>
            <w:tcBorders>
              <w:right w:val="single" w:sz="4" w:space="0" w:color="808080" w:themeColor="background1" w:themeShade="80"/>
            </w:tcBorders>
            <w:vAlign w:val="center"/>
          </w:tcPr>
          <w:p w14:paraId="54ECDE5F" w14:textId="264791A3" w:rsidR="004A477C" w:rsidRPr="004A477C" w:rsidRDefault="008806CA" w:rsidP="004A477C">
            <w:pPr>
              <w:widowControl w:val="0"/>
              <w:spacing w:line="240" w:lineRule="auto"/>
              <w:jc w:val="center"/>
              <w:rPr>
                <w:sz w:val="18"/>
                <w:szCs w:val="18"/>
              </w:rPr>
            </w:pPr>
            <w:r>
              <w:rPr>
                <w:sz w:val="18"/>
                <w:szCs w:val="18"/>
              </w:rPr>
              <w:t>u</w:t>
            </w:r>
            <w:r w:rsidR="004A477C">
              <w:rPr>
                <w:sz w:val="18"/>
                <w:szCs w:val="18"/>
              </w:rPr>
              <w:t>nknown/other</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16DA88F0" w14:textId="68C12672" w:rsidR="004A477C" w:rsidRPr="004A477C" w:rsidRDefault="004A477C" w:rsidP="004A477C">
            <w:pPr>
              <w:widowControl w:val="0"/>
              <w:spacing w:line="240" w:lineRule="auto"/>
              <w:jc w:val="right"/>
              <w:rPr>
                <w:sz w:val="18"/>
                <w:szCs w:val="18"/>
              </w:rPr>
            </w:pPr>
            <w:r w:rsidRPr="004A477C">
              <w:rPr>
                <w:sz w:val="18"/>
                <w:szCs w:val="18"/>
              </w:rPr>
              <w:t>108</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58C42671" w14:textId="1DDCC0EB" w:rsidR="004A477C" w:rsidRPr="004A477C" w:rsidRDefault="004A477C" w:rsidP="004A477C">
            <w:pPr>
              <w:widowControl w:val="0"/>
              <w:spacing w:line="240" w:lineRule="auto"/>
              <w:jc w:val="right"/>
              <w:rPr>
                <w:sz w:val="18"/>
                <w:szCs w:val="18"/>
              </w:rPr>
            </w:pPr>
            <w:r w:rsidRPr="004A477C">
              <w:rPr>
                <w:sz w:val="18"/>
                <w:szCs w:val="18"/>
              </w:rPr>
              <w:t>0.8</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7803B349" w14:textId="48048EBB" w:rsidR="004A477C" w:rsidRPr="004A477C" w:rsidRDefault="004A477C" w:rsidP="004A477C">
            <w:pPr>
              <w:widowControl w:val="0"/>
              <w:spacing w:line="240" w:lineRule="auto"/>
              <w:jc w:val="right"/>
              <w:rPr>
                <w:sz w:val="18"/>
                <w:szCs w:val="18"/>
              </w:rPr>
            </w:pPr>
            <w:r w:rsidRPr="004A477C">
              <w:rPr>
                <w:sz w:val="18"/>
                <w:szCs w:val="18"/>
              </w:rPr>
              <w:t>18</w:t>
            </w:r>
          </w:p>
        </w:tc>
        <w:tc>
          <w:tcPr>
            <w:tcW w:w="837" w:type="dxa"/>
            <w:shd w:val="clear" w:color="auto" w:fill="auto"/>
            <w:tcMar>
              <w:top w:w="0" w:type="dxa"/>
              <w:left w:w="0" w:type="dxa"/>
              <w:bottom w:w="0" w:type="dxa"/>
              <w:right w:w="0" w:type="dxa"/>
            </w:tcMar>
            <w:vAlign w:val="center"/>
          </w:tcPr>
          <w:p w14:paraId="4101E97C" w14:textId="66334B54" w:rsidR="004A477C" w:rsidRPr="004A477C" w:rsidRDefault="004A477C" w:rsidP="004A477C">
            <w:pPr>
              <w:widowControl w:val="0"/>
              <w:spacing w:line="240" w:lineRule="auto"/>
              <w:jc w:val="right"/>
              <w:rPr>
                <w:sz w:val="18"/>
                <w:szCs w:val="18"/>
              </w:rPr>
            </w:pPr>
            <w:r w:rsidRPr="004A477C">
              <w:rPr>
                <w:sz w:val="18"/>
                <w:szCs w:val="18"/>
              </w:rPr>
              <w:t>9.5</w:t>
            </w:r>
          </w:p>
        </w:tc>
      </w:tr>
      <w:tr w:rsidR="008806CA" w:rsidRPr="004A477C" w14:paraId="7AF8F8AA" w14:textId="77777777" w:rsidTr="008806CA">
        <w:trPr>
          <w:trHeight w:val="144"/>
        </w:trPr>
        <w:tc>
          <w:tcPr>
            <w:tcW w:w="4655" w:type="dxa"/>
            <w:shd w:val="clear" w:color="auto" w:fill="auto"/>
            <w:tcMar>
              <w:top w:w="0" w:type="dxa"/>
              <w:left w:w="0" w:type="dxa"/>
              <w:bottom w:w="0" w:type="dxa"/>
              <w:right w:w="0" w:type="dxa"/>
            </w:tcMar>
            <w:vAlign w:val="center"/>
          </w:tcPr>
          <w:p w14:paraId="6C0AEAC5" w14:textId="5145C68D" w:rsidR="004A477C" w:rsidRPr="004A477C" w:rsidRDefault="004A477C" w:rsidP="004A477C">
            <w:pPr>
              <w:widowControl w:val="0"/>
              <w:spacing w:line="240" w:lineRule="auto"/>
              <w:rPr>
                <w:sz w:val="18"/>
                <w:szCs w:val="18"/>
              </w:rPr>
            </w:pPr>
            <w:r w:rsidRPr="004A477C">
              <w:rPr>
                <w:sz w:val="18"/>
                <w:szCs w:val="18"/>
              </w:rPr>
              <w:t>Demolition</w:t>
            </w:r>
          </w:p>
        </w:tc>
        <w:tc>
          <w:tcPr>
            <w:tcW w:w="1350" w:type="dxa"/>
            <w:tcBorders>
              <w:right w:val="single" w:sz="4" w:space="0" w:color="808080" w:themeColor="background1" w:themeShade="80"/>
            </w:tcBorders>
            <w:vAlign w:val="center"/>
          </w:tcPr>
          <w:p w14:paraId="297FF595" w14:textId="68C4016C" w:rsidR="004A477C" w:rsidRPr="004A477C" w:rsidRDefault="004A477C" w:rsidP="004A477C">
            <w:pPr>
              <w:widowControl w:val="0"/>
              <w:spacing w:line="240" w:lineRule="auto"/>
              <w:jc w:val="center"/>
              <w:rPr>
                <w:sz w:val="18"/>
                <w:szCs w:val="18"/>
              </w:rPr>
            </w:pPr>
            <w:r>
              <w:rPr>
                <w:sz w:val="18"/>
                <w:szCs w:val="18"/>
              </w:rPr>
              <w:t>No fault</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79DD7D94" w14:textId="1E1BBF20" w:rsidR="004A477C" w:rsidRPr="004A477C" w:rsidRDefault="004A477C" w:rsidP="004A477C">
            <w:pPr>
              <w:widowControl w:val="0"/>
              <w:spacing w:line="240" w:lineRule="auto"/>
              <w:jc w:val="right"/>
              <w:rPr>
                <w:sz w:val="18"/>
                <w:szCs w:val="18"/>
              </w:rPr>
            </w:pPr>
            <w:r w:rsidRPr="004A477C">
              <w:rPr>
                <w:sz w:val="18"/>
                <w:szCs w:val="18"/>
              </w:rPr>
              <w:t>94</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41277F71" w14:textId="438BD919" w:rsidR="004A477C" w:rsidRPr="004A477C" w:rsidRDefault="004A477C" w:rsidP="004A477C">
            <w:pPr>
              <w:widowControl w:val="0"/>
              <w:spacing w:line="240" w:lineRule="auto"/>
              <w:jc w:val="right"/>
              <w:rPr>
                <w:sz w:val="18"/>
                <w:szCs w:val="18"/>
              </w:rPr>
            </w:pPr>
            <w:r w:rsidRPr="004A477C">
              <w:rPr>
                <w:sz w:val="18"/>
                <w:szCs w:val="18"/>
              </w:rPr>
              <w:t>0.7</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2350E273" w14:textId="1499161E" w:rsidR="004A477C" w:rsidRPr="004A477C" w:rsidRDefault="004A477C" w:rsidP="004A477C">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710C2BCB" w14:textId="1B5E8BB8" w:rsidR="004A477C" w:rsidRPr="004A477C" w:rsidRDefault="004A477C" w:rsidP="004A477C">
            <w:pPr>
              <w:widowControl w:val="0"/>
              <w:spacing w:line="240" w:lineRule="auto"/>
              <w:jc w:val="right"/>
              <w:rPr>
                <w:sz w:val="18"/>
                <w:szCs w:val="18"/>
              </w:rPr>
            </w:pPr>
            <w:r w:rsidRPr="004A477C">
              <w:rPr>
                <w:sz w:val="18"/>
                <w:szCs w:val="18"/>
              </w:rPr>
              <w:t>--</w:t>
            </w:r>
          </w:p>
        </w:tc>
      </w:tr>
      <w:tr w:rsidR="008806CA" w:rsidRPr="004A477C" w14:paraId="5A898A1A" w14:textId="77777777" w:rsidTr="008806CA">
        <w:trPr>
          <w:trHeight w:val="144"/>
        </w:trPr>
        <w:tc>
          <w:tcPr>
            <w:tcW w:w="4655" w:type="dxa"/>
            <w:shd w:val="clear" w:color="auto" w:fill="auto"/>
            <w:tcMar>
              <w:top w:w="0" w:type="dxa"/>
              <w:left w:w="0" w:type="dxa"/>
              <w:bottom w:w="0" w:type="dxa"/>
              <w:right w:w="0" w:type="dxa"/>
            </w:tcMar>
            <w:vAlign w:val="center"/>
          </w:tcPr>
          <w:p w14:paraId="3C687D95" w14:textId="740F5467" w:rsidR="004A477C" w:rsidRPr="004A477C" w:rsidRDefault="004A477C" w:rsidP="004A477C">
            <w:pPr>
              <w:widowControl w:val="0"/>
              <w:spacing w:line="240" w:lineRule="auto"/>
              <w:rPr>
                <w:sz w:val="18"/>
                <w:szCs w:val="18"/>
              </w:rPr>
            </w:pPr>
            <w:r w:rsidRPr="004A477C">
              <w:rPr>
                <w:sz w:val="18"/>
                <w:szCs w:val="18"/>
              </w:rPr>
              <w:t>Denial of Access to Unit</w:t>
            </w:r>
          </w:p>
        </w:tc>
        <w:tc>
          <w:tcPr>
            <w:tcW w:w="1350" w:type="dxa"/>
            <w:tcBorders>
              <w:right w:val="single" w:sz="4" w:space="0" w:color="808080" w:themeColor="background1" w:themeShade="80"/>
            </w:tcBorders>
            <w:vAlign w:val="center"/>
          </w:tcPr>
          <w:p w14:paraId="0813D0DD" w14:textId="287E54E1" w:rsidR="004A477C" w:rsidRPr="004A477C" w:rsidRDefault="004A477C" w:rsidP="004A477C">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0FA67F4B" w14:textId="2CFD2F7E" w:rsidR="004A477C" w:rsidRPr="004A477C" w:rsidRDefault="004A477C" w:rsidP="004A477C">
            <w:pPr>
              <w:widowControl w:val="0"/>
              <w:spacing w:line="240" w:lineRule="auto"/>
              <w:jc w:val="right"/>
              <w:rPr>
                <w:sz w:val="18"/>
                <w:szCs w:val="18"/>
              </w:rPr>
            </w:pPr>
            <w:r w:rsidRPr="004A477C">
              <w:rPr>
                <w:sz w:val="18"/>
                <w:szCs w:val="18"/>
              </w:rPr>
              <w:t>54</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016E22A3" w14:textId="6FC3E068" w:rsidR="004A477C" w:rsidRPr="004A477C" w:rsidRDefault="004A477C" w:rsidP="004A477C">
            <w:pPr>
              <w:widowControl w:val="0"/>
              <w:spacing w:line="240" w:lineRule="auto"/>
              <w:jc w:val="right"/>
              <w:rPr>
                <w:sz w:val="18"/>
                <w:szCs w:val="18"/>
              </w:rPr>
            </w:pPr>
            <w:r w:rsidRPr="004A477C">
              <w:rPr>
                <w:sz w:val="18"/>
                <w:szCs w:val="18"/>
              </w:rPr>
              <w:t>0.4</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79337824" w14:textId="2BB32633" w:rsidR="004A477C" w:rsidRPr="004A477C" w:rsidRDefault="004A477C" w:rsidP="004A477C">
            <w:pPr>
              <w:widowControl w:val="0"/>
              <w:spacing w:line="240" w:lineRule="auto"/>
              <w:jc w:val="right"/>
              <w:rPr>
                <w:sz w:val="18"/>
                <w:szCs w:val="18"/>
              </w:rPr>
            </w:pPr>
            <w:r w:rsidRPr="004A477C">
              <w:rPr>
                <w:sz w:val="18"/>
                <w:szCs w:val="18"/>
              </w:rPr>
              <w:t>2</w:t>
            </w:r>
          </w:p>
        </w:tc>
        <w:tc>
          <w:tcPr>
            <w:tcW w:w="837" w:type="dxa"/>
            <w:shd w:val="clear" w:color="auto" w:fill="auto"/>
            <w:tcMar>
              <w:top w:w="0" w:type="dxa"/>
              <w:left w:w="0" w:type="dxa"/>
              <w:bottom w:w="0" w:type="dxa"/>
              <w:right w:w="0" w:type="dxa"/>
            </w:tcMar>
            <w:vAlign w:val="center"/>
          </w:tcPr>
          <w:p w14:paraId="4694EE5F" w14:textId="680EAE4B" w:rsidR="004A477C" w:rsidRPr="004A477C" w:rsidRDefault="004A477C" w:rsidP="004A477C">
            <w:pPr>
              <w:widowControl w:val="0"/>
              <w:spacing w:line="240" w:lineRule="auto"/>
              <w:jc w:val="right"/>
              <w:rPr>
                <w:sz w:val="18"/>
                <w:szCs w:val="18"/>
              </w:rPr>
            </w:pPr>
            <w:r w:rsidRPr="004A477C">
              <w:rPr>
                <w:sz w:val="18"/>
                <w:szCs w:val="18"/>
              </w:rPr>
              <w:t>1.1</w:t>
            </w:r>
          </w:p>
        </w:tc>
      </w:tr>
      <w:tr w:rsidR="008806CA" w:rsidRPr="004A477C" w14:paraId="7B9E5866" w14:textId="77777777" w:rsidTr="008806CA">
        <w:trPr>
          <w:trHeight w:val="144"/>
        </w:trPr>
        <w:tc>
          <w:tcPr>
            <w:tcW w:w="4655" w:type="dxa"/>
            <w:shd w:val="clear" w:color="auto" w:fill="auto"/>
            <w:tcMar>
              <w:top w:w="0" w:type="dxa"/>
              <w:left w:w="0" w:type="dxa"/>
              <w:bottom w:w="0" w:type="dxa"/>
              <w:right w:w="0" w:type="dxa"/>
            </w:tcMar>
            <w:vAlign w:val="center"/>
          </w:tcPr>
          <w:p w14:paraId="6983EE3F" w14:textId="662DC903" w:rsidR="004A477C" w:rsidRPr="004A477C" w:rsidRDefault="004A477C" w:rsidP="004A477C">
            <w:pPr>
              <w:widowControl w:val="0"/>
              <w:spacing w:line="240" w:lineRule="auto"/>
              <w:rPr>
                <w:sz w:val="18"/>
                <w:szCs w:val="18"/>
              </w:rPr>
            </w:pPr>
            <w:r w:rsidRPr="004A477C">
              <w:rPr>
                <w:sz w:val="18"/>
                <w:szCs w:val="18"/>
              </w:rPr>
              <w:t>Nuisance Illegal Use of Unit</w:t>
            </w:r>
          </w:p>
        </w:tc>
        <w:tc>
          <w:tcPr>
            <w:tcW w:w="1350" w:type="dxa"/>
            <w:tcBorders>
              <w:right w:val="single" w:sz="4" w:space="0" w:color="808080" w:themeColor="background1" w:themeShade="80"/>
            </w:tcBorders>
            <w:vAlign w:val="center"/>
          </w:tcPr>
          <w:p w14:paraId="714F17DC" w14:textId="5E4164DD" w:rsidR="004A477C" w:rsidRPr="004A477C" w:rsidRDefault="004A477C" w:rsidP="004A477C">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0557C8D2" w14:textId="7B406AD3" w:rsidR="004A477C" w:rsidRPr="004A477C" w:rsidRDefault="004A477C" w:rsidP="004A477C">
            <w:pPr>
              <w:widowControl w:val="0"/>
              <w:spacing w:line="240" w:lineRule="auto"/>
              <w:jc w:val="right"/>
              <w:rPr>
                <w:sz w:val="18"/>
                <w:szCs w:val="18"/>
              </w:rPr>
            </w:pPr>
            <w:r w:rsidRPr="004A477C">
              <w:rPr>
                <w:sz w:val="18"/>
                <w:szCs w:val="18"/>
              </w:rPr>
              <w:t>46</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13BFE347" w14:textId="3C62BC59" w:rsidR="004A477C" w:rsidRPr="004A477C" w:rsidRDefault="004A477C" w:rsidP="004A477C">
            <w:pPr>
              <w:widowControl w:val="0"/>
              <w:spacing w:line="240" w:lineRule="auto"/>
              <w:jc w:val="right"/>
              <w:rPr>
                <w:sz w:val="18"/>
                <w:szCs w:val="18"/>
              </w:rPr>
            </w:pPr>
            <w:r w:rsidRPr="004A477C">
              <w:rPr>
                <w:sz w:val="18"/>
                <w:szCs w:val="18"/>
              </w:rPr>
              <w:t>0.3</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437EDD1B" w14:textId="65B59BEF" w:rsidR="004A477C" w:rsidRPr="004A477C" w:rsidRDefault="004A477C" w:rsidP="004A477C">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74F52521" w14:textId="4D994C71" w:rsidR="004A477C" w:rsidRPr="004A477C" w:rsidRDefault="004A477C" w:rsidP="004A477C">
            <w:pPr>
              <w:widowControl w:val="0"/>
              <w:spacing w:line="240" w:lineRule="auto"/>
              <w:jc w:val="right"/>
              <w:rPr>
                <w:sz w:val="18"/>
                <w:szCs w:val="18"/>
              </w:rPr>
            </w:pPr>
            <w:r w:rsidRPr="004A477C">
              <w:rPr>
                <w:sz w:val="18"/>
                <w:szCs w:val="18"/>
              </w:rPr>
              <w:t>--</w:t>
            </w:r>
          </w:p>
        </w:tc>
      </w:tr>
      <w:tr w:rsidR="008806CA" w:rsidRPr="004A477C" w14:paraId="16B28C11" w14:textId="77777777" w:rsidTr="008806CA">
        <w:trPr>
          <w:trHeight w:val="144"/>
        </w:trPr>
        <w:tc>
          <w:tcPr>
            <w:tcW w:w="4655" w:type="dxa"/>
            <w:shd w:val="clear" w:color="auto" w:fill="auto"/>
            <w:tcMar>
              <w:top w:w="0" w:type="dxa"/>
              <w:left w:w="0" w:type="dxa"/>
              <w:bottom w:w="0" w:type="dxa"/>
              <w:right w:w="0" w:type="dxa"/>
            </w:tcMar>
            <w:vAlign w:val="center"/>
          </w:tcPr>
          <w:p w14:paraId="04B2332D" w14:textId="2E09F470" w:rsidR="004A477C" w:rsidRPr="004A477C" w:rsidRDefault="004A477C" w:rsidP="004A477C">
            <w:pPr>
              <w:widowControl w:val="0"/>
              <w:spacing w:line="240" w:lineRule="auto"/>
              <w:rPr>
                <w:sz w:val="18"/>
                <w:szCs w:val="18"/>
              </w:rPr>
            </w:pPr>
            <w:r w:rsidRPr="004A477C">
              <w:rPr>
                <w:sz w:val="18"/>
                <w:szCs w:val="18"/>
              </w:rPr>
              <w:t>Breach of Lease Agreement Illegal Use of Unit</w:t>
            </w:r>
          </w:p>
        </w:tc>
        <w:tc>
          <w:tcPr>
            <w:tcW w:w="1350" w:type="dxa"/>
            <w:tcBorders>
              <w:right w:val="single" w:sz="4" w:space="0" w:color="808080" w:themeColor="background1" w:themeShade="80"/>
            </w:tcBorders>
            <w:vAlign w:val="center"/>
          </w:tcPr>
          <w:p w14:paraId="519D44E3" w14:textId="0DC749CE" w:rsidR="004A477C" w:rsidRPr="004A477C" w:rsidRDefault="004A477C" w:rsidP="004A477C">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4361EB09" w14:textId="025352D4" w:rsidR="004A477C" w:rsidRPr="004A477C" w:rsidRDefault="004A477C" w:rsidP="004A477C">
            <w:pPr>
              <w:widowControl w:val="0"/>
              <w:spacing w:line="240" w:lineRule="auto"/>
              <w:jc w:val="right"/>
              <w:rPr>
                <w:sz w:val="18"/>
                <w:szCs w:val="18"/>
              </w:rPr>
            </w:pPr>
            <w:r w:rsidRPr="004A477C">
              <w:rPr>
                <w:sz w:val="18"/>
                <w:szCs w:val="18"/>
              </w:rPr>
              <w:t>34</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1E82A01F" w14:textId="0F16EFB9" w:rsidR="004A477C" w:rsidRPr="004A477C" w:rsidRDefault="004A477C" w:rsidP="004A477C">
            <w:pPr>
              <w:widowControl w:val="0"/>
              <w:spacing w:line="240" w:lineRule="auto"/>
              <w:jc w:val="right"/>
              <w:rPr>
                <w:sz w:val="18"/>
                <w:szCs w:val="18"/>
              </w:rPr>
            </w:pPr>
            <w:r w:rsidRPr="004A477C">
              <w:rPr>
                <w:sz w:val="18"/>
                <w:szCs w:val="18"/>
              </w:rPr>
              <w:t>0.2</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144595AA" w14:textId="13ABB338" w:rsidR="004A477C" w:rsidRPr="004A477C" w:rsidRDefault="004A477C" w:rsidP="004A477C">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4C8B4A69" w14:textId="584F8C44" w:rsidR="004A477C" w:rsidRPr="004A477C" w:rsidRDefault="004A477C" w:rsidP="004A477C">
            <w:pPr>
              <w:widowControl w:val="0"/>
              <w:spacing w:line="240" w:lineRule="auto"/>
              <w:jc w:val="right"/>
              <w:rPr>
                <w:sz w:val="18"/>
                <w:szCs w:val="18"/>
              </w:rPr>
            </w:pPr>
            <w:r w:rsidRPr="004A477C">
              <w:rPr>
                <w:sz w:val="18"/>
                <w:szCs w:val="18"/>
              </w:rPr>
              <w:t>--</w:t>
            </w:r>
          </w:p>
        </w:tc>
      </w:tr>
      <w:tr w:rsidR="008806CA" w:rsidRPr="004A477C" w14:paraId="6462A93F" w14:textId="77777777" w:rsidTr="008806CA">
        <w:trPr>
          <w:trHeight w:val="144"/>
        </w:trPr>
        <w:tc>
          <w:tcPr>
            <w:tcW w:w="4655" w:type="dxa"/>
            <w:shd w:val="clear" w:color="auto" w:fill="auto"/>
            <w:tcMar>
              <w:top w:w="0" w:type="dxa"/>
              <w:left w:w="0" w:type="dxa"/>
              <w:bottom w:w="0" w:type="dxa"/>
              <w:right w:w="0" w:type="dxa"/>
            </w:tcMar>
            <w:vAlign w:val="center"/>
          </w:tcPr>
          <w:p w14:paraId="5AB42D8F" w14:textId="64C15DAA" w:rsidR="004A477C" w:rsidRPr="004A477C" w:rsidRDefault="004A477C" w:rsidP="004A477C">
            <w:pPr>
              <w:widowControl w:val="0"/>
              <w:spacing w:line="240" w:lineRule="auto"/>
              <w:rPr>
                <w:sz w:val="18"/>
                <w:szCs w:val="18"/>
              </w:rPr>
            </w:pPr>
            <w:r w:rsidRPr="004A477C">
              <w:rPr>
                <w:sz w:val="18"/>
                <w:szCs w:val="18"/>
              </w:rPr>
              <w:t>Breach of Lease Agreement Nuisance Illegal Use of Unit</w:t>
            </w:r>
          </w:p>
        </w:tc>
        <w:tc>
          <w:tcPr>
            <w:tcW w:w="1350" w:type="dxa"/>
            <w:tcBorders>
              <w:right w:val="single" w:sz="4" w:space="0" w:color="808080" w:themeColor="background1" w:themeShade="80"/>
            </w:tcBorders>
            <w:vAlign w:val="center"/>
          </w:tcPr>
          <w:p w14:paraId="5F341B4E" w14:textId="31671D4F" w:rsidR="004A477C" w:rsidRPr="004A477C" w:rsidRDefault="004A477C" w:rsidP="004A477C">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4D44A86E" w14:textId="1968A950" w:rsidR="004A477C" w:rsidRPr="004A477C" w:rsidRDefault="004A477C" w:rsidP="004A477C">
            <w:pPr>
              <w:widowControl w:val="0"/>
              <w:spacing w:line="240" w:lineRule="auto"/>
              <w:jc w:val="right"/>
              <w:rPr>
                <w:sz w:val="18"/>
                <w:szCs w:val="18"/>
              </w:rPr>
            </w:pPr>
            <w:r w:rsidRPr="004A477C">
              <w:rPr>
                <w:sz w:val="18"/>
                <w:szCs w:val="18"/>
              </w:rPr>
              <w:t>24</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5DFE69DD" w14:textId="05EEF16A" w:rsidR="004A477C" w:rsidRPr="004A477C" w:rsidRDefault="004A477C" w:rsidP="004A477C">
            <w:pPr>
              <w:widowControl w:val="0"/>
              <w:spacing w:line="240" w:lineRule="auto"/>
              <w:jc w:val="right"/>
              <w:rPr>
                <w:sz w:val="18"/>
                <w:szCs w:val="18"/>
              </w:rPr>
            </w:pPr>
            <w:r w:rsidRPr="004A477C">
              <w:rPr>
                <w:sz w:val="18"/>
                <w:szCs w:val="18"/>
              </w:rPr>
              <w:t>0.2</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04301E54" w14:textId="1063846E" w:rsidR="004A477C" w:rsidRPr="004A477C" w:rsidRDefault="004A477C" w:rsidP="004A477C">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4508243A" w14:textId="1FC36945" w:rsidR="004A477C" w:rsidRPr="004A477C" w:rsidRDefault="004A477C" w:rsidP="004A477C">
            <w:pPr>
              <w:widowControl w:val="0"/>
              <w:spacing w:line="240" w:lineRule="auto"/>
              <w:jc w:val="right"/>
              <w:rPr>
                <w:sz w:val="18"/>
                <w:szCs w:val="18"/>
              </w:rPr>
            </w:pPr>
            <w:r w:rsidRPr="004A477C">
              <w:rPr>
                <w:sz w:val="18"/>
                <w:szCs w:val="18"/>
              </w:rPr>
              <w:t>--</w:t>
            </w:r>
          </w:p>
        </w:tc>
      </w:tr>
      <w:tr w:rsidR="008806CA" w:rsidRPr="004A477C" w14:paraId="2ECE7251" w14:textId="77777777" w:rsidTr="008806CA">
        <w:trPr>
          <w:trHeight w:val="144"/>
        </w:trPr>
        <w:tc>
          <w:tcPr>
            <w:tcW w:w="4655" w:type="dxa"/>
            <w:shd w:val="clear" w:color="auto" w:fill="auto"/>
            <w:tcMar>
              <w:top w:w="0" w:type="dxa"/>
              <w:left w:w="0" w:type="dxa"/>
              <w:bottom w:w="0" w:type="dxa"/>
              <w:right w:w="0" w:type="dxa"/>
            </w:tcMar>
            <w:vAlign w:val="center"/>
          </w:tcPr>
          <w:p w14:paraId="3803D078" w14:textId="6DE28BA5" w:rsidR="004A477C" w:rsidRPr="004A477C" w:rsidRDefault="004A477C" w:rsidP="004A477C">
            <w:pPr>
              <w:widowControl w:val="0"/>
              <w:spacing w:line="240" w:lineRule="auto"/>
              <w:rPr>
                <w:sz w:val="18"/>
                <w:szCs w:val="18"/>
              </w:rPr>
            </w:pPr>
            <w:r w:rsidRPr="004A477C">
              <w:rPr>
                <w:sz w:val="18"/>
                <w:szCs w:val="18"/>
              </w:rPr>
              <w:t>Non-payment of Rent Breach of Lease Agreement</w:t>
            </w:r>
          </w:p>
        </w:tc>
        <w:tc>
          <w:tcPr>
            <w:tcW w:w="1350" w:type="dxa"/>
            <w:tcBorders>
              <w:right w:val="single" w:sz="4" w:space="0" w:color="808080" w:themeColor="background1" w:themeShade="80"/>
            </w:tcBorders>
            <w:vAlign w:val="center"/>
          </w:tcPr>
          <w:p w14:paraId="78C431CE" w14:textId="5BDC1F63" w:rsidR="004A477C" w:rsidRPr="004A477C" w:rsidRDefault="004A477C" w:rsidP="004A477C">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05616BBB" w14:textId="6D0876D8" w:rsidR="004A477C" w:rsidRPr="004A477C" w:rsidRDefault="004A477C" w:rsidP="004A477C">
            <w:pPr>
              <w:widowControl w:val="0"/>
              <w:spacing w:line="240" w:lineRule="auto"/>
              <w:jc w:val="right"/>
              <w:rPr>
                <w:sz w:val="18"/>
                <w:szCs w:val="18"/>
              </w:rPr>
            </w:pPr>
            <w:r w:rsidRPr="004A477C">
              <w:rPr>
                <w:sz w:val="18"/>
                <w:szCs w:val="18"/>
              </w:rPr>
              <w:t>14</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056E9A23" w14:textId="3A3075A6" w:rsidR="004A477C" w:rsidRPr="004A477C" w:rsidRDefault="004A477C" w:rsidP="004A477C">
            <w:pPr>
              <w:widowControl w:val="0"/>
              <w:spacing w:line="240" w:lineRule="auto"/>
              <w:jc w:val="right"/>
              <w:rPr>
                <w:sz w:val="18"/>
                <w:szCs w:val="18"/>
              </w:rPr>
            </w:pPr>
            <w:r w:rsidRPr="004A477C">
              <w:rPr>
                <w:sz w:val="18"/>
                <w:szCs w:val="18"/>
              </w:rPr>
              <w:t>0.1</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7F1BE2D7" w14:textId="4F40951C" w:rsidR="004A477C" w:rsidRPr="004A477C" w:rsidRDefault="004A477C" w:rsidP="004A477C">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6BDA3FCC" w14:textId="0AFBDAEC" w:rsidR="004A477C" w:rsidRPr="004A477C" w:rsidRDefault="004A477C" w:rsidP="004A477C">
            <w:pPr>
              <w:widowControl w:val="0"/>
              <w:spacing w:line="240" w:lineRule="auto"/>
              <w:jc w:val="right"/>
              <w:rPr>
                <w:sz w:val="18"/>
                <w:szCs w:val="18"/>
              </w:rPr>
            </w:pPr>
            <w:r w:rsidRPr="004A477C">
              <w:rPr>
                <w:sz w:val="18"/>
                <w:szCs w:val="18"/>
              </w:rPr>
              <w:t>--</w:t>
            </w:r>
          </w:p>
        </w:tc>
      </w:tr>
      <w:tr w:rsidR="008806CA" w:rsidRPr="004A477C" w14:paraId="3D05B9C9" w14:textId="77777777" w:rsidTr="008806CA">
        <w:trPr>
          <w:trHeight w:val="144"/>
        </w:trPr>
        <w:tc>
          <w:tcPr>
            <w:tcW w:w="4655" w:type="dxa"/>
            <w:shd w:val="clear" w:color="auto" w:fill="auto"/>
            <w:tcMar>
              <w:top w:w="0" w:type="dxa"/>
              <w:left w:w="0" w:type="dxa"/>
              <w:bottom w:w="0" w:type="dxa"/>
              <w:right w:w="0" w:type="dxa"/>
            </w:tcMar>
            <w:vAlign w:val="center"/>
          </w:tcPr>
          <w:p w14:paraId="410454FC" w14:textId="5199591E" w:rsidR="004A477C" w:rsidRPr="004A477C" w:rsidRDefault="004A477C" w:rsidP="004A477C">
            <w:pPr>
              <w:widowControl w:val="0"/>
              <w:spacing w:line="240" w:lineRule="auto"/>
              <w:rPr>
                <w:sz w:val="18"/>
                <w:szCs w:val="18"/>
              </w:rPr>
            </w:pPr>
            <w:r w:rsidRPr="004A477C">
              <w:rPr>
                <w:sz w:val="18"/>
                <w:szCs w:val="18"/>
              </w:rPr>
              <w:t>Failure to Sign Lease Renewal</w:t>
            </w:r>
          </w:p>
        </w:tc>
        <w:tc>
          <w:tcPr>
            <w:tcW w:w="1350" w:type="dxa"/>
            <w:tcBorders>
              <w:right w:val="single" w:sz="4" w:space="0" w:color="808080" w:themeColor="background1" w:themeShade="80"/>
            </w:tcBorders>
            <w:vAlign w:val="center"/>
          </w:tcPr>
          <w:p w14:paraId="332AF198" w14:textId="26AD01F1" w:rsidR="004A477C" w:rsidRPr="004A477C" w:rsidRDefault="004A477C" w:rsidP="004A477C">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5E3D0CEE" w14:textId="19B79710" w:rsidR="004A477C" w:rsidRPr="004A477C" w:rsidRDefault="004A477C" w:rsidP="004A477C">
            <w:pPr>
              <w:widowControl w:val="0"/>
              <w:spacing w:line="240" w:lineRule="auto"/>
              <w:jc w:val="right"/>
              <w:rPr>
                <w:sz w:val="18"/>
                <w:szCs w:val="18"/>
              </w:rPr>
            </w:pPr>
            <w:r w:rsidRPr="004A477C">
              <w:rPr>
                <w:sz w:val="18"/>
                <w:szCs w:val="18"/>
              </w:rPr>
              <w:t>19</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6725E7F1" w14:textId="6DD25F5E" w:rsidR="004A477C" w:rsidRPr="004A477C" w:rsidRDefault="004A477C" w:rsidP="004A477C">
            <w:pPr>
              <w:widowControl w:val="0"/>
              <w:spacing w:line="240" w:lineRule="auto"/>
              <w:jc w:val="right"/>
              <w:rPr>
                <w:sz w:val="18"/>
                <w:szCs w:val="18"/>
              </w:rPr>
            </w:pPr>
            <w:r w:rsidRPr="004A477C">
              <w:rPr>
                <w:sz w:val="18"/>
                <w:szCs w:val="18"/>
              </w:rPr>
              <w:t>0.1</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343FEE74" w14:textId="61012BFF" w:rsidR="004A477C" w:rsidRPr="004A477C" w:rsidRDefault="004A477C" w:rsidP="004A477C">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13ABB32E" w14:textId="2C904EAD" w:rsidR="004A477C" w:rsidRPr="004A477C" w:rsidRDefault="004A477C" w:rsidP="004A477C">
            <w:pPr>
              <w:widowControl w:val="0"/>
              <w:spacing w:line="240" w:lineRule="auto"/>
              <w:jc w:val="right"/>
              <w:rPr>
                <w:sz w:val="18"/>
                <w:szCs w:val="18"/>
              </w:rPr>
            </w:pPr>
            <w:r w:rsidRPr="004A477C">
              <w:rPr>
                <w:sz w:val="18"/>
                <w:szCs w:val="18"/>
              </w:rPr>
              <w:t>--</w:t>
            </w:r>
          </w:p>
        </w:tc>
      </w:tr>
      <w:tr w:rsidR="008806CA" w:rsidRPr="004A477C" w14:paraId="5472CA81" w14:textId="77777777" w:rsidTr="008806CA">
        <w:trPr>
          <w:trHeight w:val="144"/>
        </w:trPr>
        <w:tc>
          <w:tcPr>
            <w:tcW w:w="4655" w:type="dxa"/>
            <w:shd w:val="clear" w:color="auto" w:fill="auto"/>
            <w:tcMar>
              <w:top w:w="0" w:type="dxa"/>
              <w:left w:w="0" w:type="dxa"/>
              <w:bottom w:w="0" w:type="dxa"/>
              <w:right w:w="0" w:type="dxa"/>
            </w:tcMar>
            <w:vAlign w:val="center"/>
          </w:tcPr>
          <w:p w14:paraId="1FB53833" w14:textId="6EFAE658" w:rsidR="004A477C" w:rsidRPr="004A477C" w:rsidRDefault="004A477C" w:rsidP="004A477C">
            <w:pPr>
              <w:widowControl w:val="0"/>
              <w:spacing w:line="240" w:lineRule="auto"/>
              <w:rPr>
                <w:sz w:val="18"/>
                <w:szCs w:val="18"/>
              </w:rPr>
            </w:pPr>
            <w:r w:rsidRPr="004A477C">
              <w:rPr>
                <w:sz w:val="18"/>
                <w:szCs w:val="18"/>
              </w:rPr>
              <w:t>Denial of Access to Unit Breach of Lease Agreement</w:t>
            </w:r>
          </w:p>
        </w:tc>
        <w:tc>
          <w:tcPr>
            <w:tcW w:w="1350" w:type="dxa"/>
            <w:tcBorders>
              <w:right w:val="single" w:sz="4" w:space="0" w:color="808080" w:themeColor="background1" w:themeShade="80"/>
            </w:tcBorders>
            <w:vAlign w:val="center"/>
          </w:tcPr>
          <w:p w14:paraId="6C3818E9" w14:textId="56304062" w:rsidR="004A477C" w:rsidRPr="004A477C" w:rsidRDefault="004A477C" w:rsidP="004A477C">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0639D0C0" w14:textId="11831137" w:rsidR="004A477C" w:rsidRPr="004A477C" w:rsidRDefault="004A477C" w:rsidP="004A477C">
            <w:pPr>
              <w:widowControl w:val="0"/>
              <w:spacing w:line="240" w:lineRule="auto"/>
              <w:jc w:val="right"/>
              <w:rPr>
                <w:sz w:val="18"/>
                <w:szCs w:val="18"/>
              </w:rPr>
            </w:pPr>
            <w:r w:rsidRPr="004A477C">
              <w:rPr>
                <w:sz w:val="18"/>
                <w:szCs w:val="18"/>
              </w:rPr>
              <w:t>10</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730A0F84" w14:textId="1BFB4432" w:rsidR="004A477C" w:rsidRPr="004A477C" w:rsidRDefault="004A477C" w:rsidP="004A477C">
            <w:pPr>
              <w:widowControl w:val="0"/>
              <w:spacing w:line="240" w:lineRule="auto"/>
              <w:jc w:val="right"/>
              <w:rPr>
                <w:sz w:val="18"/>
                <w:szCs w:val="18"/>
              </w:rPr>
            </w:pPr>
            <w:r w:rsidRPr="004A477C">
              <w:rPr>
                <w:sz w:val="18"/>
                <w:szCs w:val="18"/>
              </w:rPr>
              <w:t>0.1</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64023CE0" w14:textId="2AF7BFCE" w:rsidR="004A477C" w:rsidRPr="004A477C" w:rsidRDefault="004A477C" w:rsidP="004A477C">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44E65C61" w14:textId="1B84BD2C" w:rsidR="004A477C" w:rsidRPr="004A477C" w:rsidRDefault="004A477C" w:rsidP="004A477C">
            <w:pPr>
              <w:widowControl w:val="0"/>
              <w:spacing w:line="240" w:lineRule="auto"/>
              <w:jc w:val="right"/>
              <w:rPr>
                <w:sz w:val="18"/>
                <w:szCs w:val="18"/>
              </w:rPr>
            </w:pPr>
            <w:r w:rsidRPr="004A477C">
              <w:rPr>
                <w:sz w:val="18"/>
                <w:szCs w:val="18"/>
              </w:rPr>
              <w:t>--</w:t>
            </w:r>
          </w:p>
        </w:tc>
      </w:tr>
      <w:tr w:rsidR="008806CA" w:rsidRPr="004A477C" w14:paraId="64BBCEC7" w14:textId="77777777" w:rsidTr="008806CA">
        <w:trPr>
          <w:trHeight w:val="144"/>
        </w:trPr>
        <w:tc>
          <w:tcPr>
            <w:tcW w:w="4655" w:type="dxa"/>
            <w:shd w:val="clear" w:color="auto" w:fill="auto"/>
            <w:tcMar>
              <w:top w:w="0" w:type="dxa"/>
              <w:left w:w="0" w:type="dxa"/>
              <w:bottom w:w="0" w:type="dxa"/>
              <w:right w:w="0" w:type="dxa"/>
            </w:tcMar>
            <w:vAlign w:val="center"/>
          </w:tcPr>
          <w:p w14:paraId="52CFABD3" w14:textId="6BF2E550" w:rsidR="004A477C" w:rsidRPr="004A477C" w:rsidRDefault="004A477C" w:rsidP="004A477C">
            <w:pPr>
              <w:widowControl w:val="0"/>
              <w:spacing w:line="240" w:lineRule="auto"/>
              <w:rPr>
                <w:sz w:val="18"/>
                <w:szCs w:val="18"/>
              </w:rPr>
            </w:pPr>
            <w:r w:rsidRPr="004A477C">
              <w:rPr>
                <w:sz w:val="18"/>
                <w:szCs w:val="18"/>
              </w:rPr>
              <w:t>Condo Conversion</w:t>
            </w:r>
          </w:p>
        </w:tc>
        <w:tc>
          <w:tcPr>
            <w:tcW w:w="1350" w:type="dxa"/>
            <w:tcBorders>
              <w:right w:val="single" w:sz="4" w:space="0" w:color="808080" w:themeColor="background1" w:themeShade="80"/>
            </w:tcBorders>
            <w:vAlign w:val="center"/>
          </w:tcPr>
          <w:p w14:paraId="5E513BD4" w14:textId="2AF1E9E3" w:rsidR="004A477C" w:rsidRPr="004A477C" w:rsidRDefault="008806CA" w:rsidP="004A477C">
            <w:pPr>
              <w:widowControl w:val="0"/>
              <w:spacing w:line="240" w:lineRule="auto"/>
              <w:jc w:val="center"/>
              <w:rPr>
                <w:sz w:val="18"/>
                <w:szCs w:val="18"/>
              </w:rPr>
            </w:pPr>
            <w:r>
              <w:rPr>
                <w:sz w:val="18"/>
                <w:szCs w:val="18"/>
              </w:rPr>
              <w:t>No fault</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03FFAC40" w14:textId="3F2089BF" w:rsidR="004A477C" w:rsidRPr="004A477C" w:rsidRDefault="004A477C" w:rsidP="004A477C">
            <w:pPr>
              <w:widowControl w:val="0"/>
              <w:spacing w:line="240" w:lineRule="auto"/>
              <w:jc w:val="right"/>
              <w:rPr>
                <w:sz w:val="18"/>
                <w:szCs w:val="18"/>
              </w:rPr>
            </w:pPr>
            <w:r w:rsidRPr="004A477C">
              <w:rPr>
                <w:sz w:val="18"/>
                <w:szCs w:val="18"/>
              </w:rPr>
              <w:t>17</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027FCAA0" w14:textId="503EC6B3" w:rsidR="004A477C" w:rsidRPr="004A477C" w:rsidRDefault="004A477C" w:rsidP="004A477C">
            <w:pPr>
              <w:widowControl w:val="0"/>
              <w:spacing w:line="240" w:lineRule="auto"/>
              <w:jc w:val="right"/>
              <w:rPr>
                <w:sz w:val="18"/>
                <w:szCs w:val="18"/>
              </w:rPr>
            </w:pPr>
            <w:r w:rsidRPr="004A477C">
              <w:rPr>
                <w:sz w:val="18"/>
                <w:szCs w:val="18"/>
              </w:rPr>
              <w:t>0.1</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7B8D1884" w14:textId="6F074EC9" w:rsidR="004A477C" w:rsidRPr="004A477C" w:rsidRDefault="004A477C" w:rsidP="004A477C">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6EF2693A" w14:textId="1FFD07E0" w:rsidR="004A477C" w:rsidRPr="004A477C" w:rsidRDefault="004A477C" w:rsidP="004A477C">
            <w:pPr>
              <w:widowControl w:val="0"/>
              <w:spacing w:line="240" w:lineRule="auto"/>
              <w:jc w:val="right"/>
              <w:rPr>
                <w:sz w:val="18"/>
                <w:szCs w:val="18"/>
              </w:rPr>
            </w:pPr>
            <w:r w:rsidRPr="004A477C">
              <w:rPr>
                <w:sz w:val="18"/>
                <w:szCs w:val="18"/>
              </w:rPr>
              <w:t>--</w:t>
            </w:r>
          </w:p>
        </w:tc>
      </w:tr>
      <w:tr w:rsidR="008806CA" w:rsidRPr="004A477C" w14:paraId="6EED088A" w14:textId="77777777" w:rsidTr="008806CA">
        <w:trPr>
          <w:trHeight w:val="144"/>
        </w:trPr>
        <w:tc>
          <w:tcPr>
            <w:tcW w:w="4655" w:type="dxa"/>
            <w:shd w:val="clear" w:color="auto" w:fill="auto"/>
            <w:tcMar>
              <w:top w:w="0" w:type="dxa"/>
              <w:left w:w="0" w:type="dxa"/>
              <w:bottom w:w="0" w:type="dxa"/>
              <w:right w:w="0" w:type="dxa"/>
            </w:tcMar>
            <w:vAlign w:val="center"/>
          </w:tcPr>
          <w:p w14:paraId="13F89A1D" w14:textId="003CB51A" w:rsidR="004A477C" w:rsidRPr="004A477C" w:rsidRDefault="004A477C" w:rsidP="004A477C">
            <w:pPr>
              <w:widowControl w:val="0"/>
              <w:spacing w:line="240" w:lineRule="auto"/>
              <w:rPr>
                <w:sz w:val="18"/>
                <w:szCs w:val="18"/>
              </w:rPr>
            </w:pPr>
            <w:r w:rsidRPr="004A477C">
              <w:rPr>
                <w:sz w:val="18"/>
                <w:szCs w:val="18"/>
              </w:rPr>
              <w:t>Habitual Late Payment of Rent Breach of Lease Agreement</w:t>
            </w:r>
          </w:p>
        </w:tc>
        <w:tc>
          <w:tcPr>
            <w:tcW w:w="1350" w:type="dxa"/>
            <w:tcBorders>
              <w:right w:val="single" w:sz="4" w:space="0" w:color="808080" w:themeColor="background1" w:themeShade="80"/>
            </w:tcBorders>
            <w:vAlign w:val="center"/>
          </w:tcPr>
          <w:p w14:paraId="2507FDEA" w14:textId="6363BD90" w:rsidR="004A477C" w:rsidRPr="004A477C" w:rsidRDefault="004A477C" w:rsidP="004A477C">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433CFAA4" w14:textId="6D710CE1" w:rsidR="004A477C" w:rsidRPr="004A477C" w:rsidRDefault="004A477C" w:rsidP="004A477C">
            <w:pPr>
              <w:widowControl w:val="0"/>
              <w:spacing w:line="240" w:lineRule="auto"/>
              <w:jc w:val="right"/>
              <w:rPr>
                <w:sz w:val="18"/>
                <w:szCs w:val="18"/>
              </w:rPr>
            </w:pPr>
            <w:r w:rsidRPr="004A477C">
              <w:rPr>
                <w:sz w:val="18"/>
                <w:szCs w:val="18"/>
              </w:rPr>
              <w:t>11</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15683096" w14:textId="0D2B7AC8" w:rsidR="004A477C" w:rsidRPr="004A477C" w:rsidRDefault="004A477C" w:rsidP="004A477C">
            <w:pPr>
              <w:widowControl w:val="0"/>
              <w:spacing w:line="240" w:lineRule="auto"/>
              <w:jc w:val="right"/>
              <w:rPr>
                <w:sz w:val="18"/>
                <w:szCs w:val="18"/>
              </w:rPr>
            </w:pPr>
            <w:r w:rsidRPr="004A477C">
              <w:rPr>
                <w:sz w:val="18"/>
                <w:szCs w:val="18"/>
              </w:rPr>
              <w:t>0.1</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591C9726" w14:textId="457D2DF4" w:rsidR="004A477C" w:rsidRPr="004A477C" w:rsidRDefault="004A477C" w:rsidP="004A477C">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38DF7089" w14:textId="5FDCC582" w:rsidR="004A477C" w:rsidRPr="004A477C" w:rsidRDefault="004A477C" w:rsidP="004A477C">
            <w:pPr>
              <w:widowControl w:val="0"/>
              <w:spacing w:line="240" w:lineRule="auto"/>
              <w:jc w:val="right"/>
              <w:rPr>
                <w:sz w:val="18"/>
                <w:szCs w:val="18"/>
              </w:rPr>
            </w:pPr>
            <w:r w:rsidRPr="004A477C">
              <w:rPr>
                <w:sz w:val="18"/>
                <w:szCs w:val="18"/>
              </w:rPr>
              <w:t>--</w:t>
            </w:r>
          </w:p>
        </w:tc>
      </w:tr>
      <w:tr w:rsidR="008806CA" w:rsidRPr="004A477C" w14:paraId="6F29651A" w14:textId="77777777" w:rsidTr="008806CA">
        <w:trPr>
          <w:trHeight w:val="144"/>
        </w:trPr>
        <w:tc>
          <w:tcPr>
            <w:tcW w:w="4655" w:type="dxa"/>
            <w:shd w:val="clear" w:color="auto" w:fill="auto"/>
            <w:tcMar>
              <w:top w:w="0" w:type="dxa"/>
              <w:left w:w="0" w:type="dxa"/>
              <w:bottom w:w="0" w:type="dxa"/>
              <w:right w:w="0" w:type="dxa"/>
            </w:tcMar>
            <w:vAlign w:val="center"/>
          </w:tcPr>
          <w:p w14:paraId="166D8EFF" w14:textId="002560FD" w:rsidR="004A477C" w:rsidRPr="004A477C" w:rsidRDefault="004A477C" w:rsidP="004A477C">
            <w:pPr>
              <w:widowControl w:val="0"/>
              <w:spacing w:line="240" w:lineRule="auto"/>
              <w:rPr>
                <w:sz w:val="18"/>
                <w:szCs w:val="18"/>
              </w:rPr>
            </w:pPr>
            <w:r w:rsidRPr="004A477C">
              <w:rPr>
                <w:sz w:val="18"/>
                <w:szCs w:val="18"/>
              </w:rPr>
              <w:t>Non-payment of Rent Habitual Late Payment of Rent</w:t>
            </w:r>
          </w:p>
        </w:tc>
        <w:tc>
          <w:tcPr>
            <w:tcW w:w="1350" w:type="dxa"/>
            <w:tcBorders>
              <w:right w:val="single" w:sz="4" w:space="0" w:color="808080" w:themeColor="background1" w:themeShade="80"/>
            </w:tcBorders>
            <w:vAlign w:val="center"/>
          </w:tcPr>
          <w:p w14:paraId="50D9661D" w14:textId="046C1CC6" w:rsidR="004A477C" w:rsidRPr="004A477C" w:rsidRDefault="004A477C" w:rsidP="004A477C">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04137FAB" w14:textId="3EA4BC52" w:rsidR="004A477C" w:rsidRPr="004A477C" w:rsidRDefault="004A477C" w:rsidP="004A477C">
            <w:pPr>
              <w:widowControl w:val="0"/>
              <w:spacing w:line="240" w:lineRule="auto"/>
              <w:jc w:val="right"/>
              <w:rPr>
                <w:sz w:val="18"/>
                <w:szCs w:val="18"/>
              </w:rPr>
            </w:pPr>
            <w:r w:rsidRPr="004A477C">
              <w:rPr>
                <w:sz w:val="18"/>
                <w:szCs w:val="18"/>
              </w:rPr>
              <w:t>10</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7B156AFB" w14:textId="34A64A0E" w:rsidR="004A477C" w:rsidRPr="004A477C" w:rsidRDefault="004A477C" w:rsidP="004A477C">
            <w:pPr>
              <w:widowControl w:val="0"/>
              <w:spacing w:line="240" w:lineRule="auto"/>
              <w:jc w:val="right"/>
              <w:rPr>
                <w:sz w:val="18"/>
                <w:szCs w:val="18"/>
              </w:rPr>
            </w:pPr>
            <w:r w:rsidRPr="004A477C">
              <w:rPr>
                <w:sz w:val="18"/>
                <w:szCs w:val="18"/>
              </w:rPr>
              <w:t>0.1</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7FB6114C" w14:textId="76CDF003" w:rsidR="004A477C" w:rsidRPr="004A477C" w:rsidRDefault="004A477C" w:rsidP="004A477C">
            <w:pPr>
              <w:widowControl w:val="0"/>
              <w:spacing w:line="240" w:lineRule="auto"/>
              <w:jc w:val="right"/>
              <w:rPr>
                <w:sz w:val="18"/>
                <w:szCs w:val="18"/>
              </w:rPr>
            </w:pPr>
            <w:r w:rsidRPr="004A477C">
              <w:rPr>
                <w:sz w:val="18"/>
                <w:szCs w:val="18"/>
              </w:rPr>
              <w:t>1</w:t>
            </w:r>
          </w:p>
        </w:tc>
        <w:tc>
          <w:tcPr>
            <w:tcW w:w="837" w:type="dxa"/>
            <w:shd w:val="clear" w:color="auto" w:fill="auto"/>
            <w:tcMar>
              <w:top w:w="0" w:type="dxa"/>
              <w:left w:w="0" w:type="dxa"/>
              <w:bottom w:w="0" w:type="dxa"/>
              <w:right w:w="0" w:type="dxa"/>
            </w:tcMar>
            <w:vAlign w:val="center"/>
          </w:tcPr>
          <w:p w14:paraId="06C28307" w14:textId="4CDAA96D" w:rsidR="004A477C" w:rsidRPr="004A477C" w:rsidRDefault="004A477C" w:rsidP="004A477C">
            <w:pPr>
              <w:widowControl w:val="0"/>
              <w:spacing w:line="240" w:lineRule="auto"/>
              <w:jc w:val="right"/>
              <w:rPr>
                <w:sz w:val="18"/>
                <w:szCs w:val="18"/>
              </w:rPr>
            </w:pPr>
            <w:r w:rsidRPr="004A477C">
              <w:rPr>
                <w:sz w:val="18"/>
                <w:szCs w:val="18"/>
              </w:rPr>
              <w:t>0.5</w:t>
            </w:r>
          </w:p>
        </w:tc>
      </w:tr>
      <w:tr w:rsidR="008806CA" w:rsidRPr="004A477C" w14:paraId="3FA86383" w14:textId="77777777" w:rsidTr="008806CA">
        <w:trPr>
          <w:trHeight w:val="144"/>
        </w:trPr>
        <w:tc>
          <w:tcPr>
            <w:tcW w:w="4655" w:type="dxa"/>
            <w:shd w:val="clear" w:color="auto" w:fill="auto"/>
            <w:tcMar>
              <w:top w:w="0" w:type="dxa"/>
              <w:left w:w="0" w:type="dxa"/>
              <w:bottom w:w="0" w:type="dxa"/>
              <w:right w:w="0" w:type="dxa"/>
            </w:tcMar>
            <w:vAlign w:val="center"/>
          </w:tcPr>
          <w:p w14:paraId="2218942D" w14:textId="2A9D9666" w:rsidR="004A477C" w:rsidRPr="004A477C" w:rsidRDefault="004A477C" w:rsidP="004A477C">
            <w:pPr>
              <w:widowControl w:val="0"/>
              <w:spacing w:line="240" w:lineRule="auto"/>
              <w:rPr>
                <w:sz w:val="18"/>
                <w:szCs w:val="18"/>
              </w:rPr>
            </w:pPr>
            <w:r w:rsidRPr="004A477C">
              <w:rPr>
                <w:sz w:val="18"/>
                <w:szCs w:val="18"/>
              </w:rPr>
              <w:t>Unapproved Subtenant Breach of Lease Agreement</w:t>
            </w:r>
          </w:p>
        </w:tc>
        <w:tc>
          <w:tcPr>
            <w:tcW w:w="1350" w:type="dxa"/>
            <w:tcBorders>
              <w:right w:val="single" w:sz="4" w:space="0" w:color="808080" w:themeColor="background1" w:themeShade="80"/>
            </w:tcBorders>
            <w:vAlign w:val="center"/>
          </w:tcPr>
          <w:p w14:paraId="1127872C" w14:textId="42989B24" w:rsidR="004A477C" w:rsidRPr="004A477C" w:rsidRDefault="004A477C" w:rsidP="004A477C">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23F95465" w14:textId="3F2F3596" w:rsidR="004A477C" w:rsidRPr="004A477C" w:rsidRDefault="004A477C" w:rsidP="004A477C">
            <w:pPr>
              <w:widowControl w:val="0"/>
              <w:spacing w:line="240" w:lineRule="auto"/>
              <w:jc w:val="right"/>
              <w:rPr>
                <w:sz w:val="18"/>
                <w:szCs w:val="18"/>
              </w:rPr>
            </w:pPr>
            <w:r w:rsidRPr="004A477C">
              <w:rPr>
                <w:sz w:val="18"/>
                <w:szCs w:val="18"/>
              </w:rPr>
              <w:t>8</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2F277C90" w14:textId="72C272B9" w:rsidR="004A477C" w:rsidRPr="004A477C" w:rsidRDefault="004A477C" w:rsidP="004A477C">
            <w:pPr>
              <w:widowControl w:val="0"/>
              <w:spacing w:line="240" w:lineRule="auto"/>
              <w:jc w:val="right"/>
              <w:rPr>
                <w:sz w:val="18"/>
                <w:szCs w:val="18"/>
              </w:rPr>
            </w:pPr>
            <w:r w:rsidRPr="004A477C">
              <w:rPr>
                <w:sz w:val="18"/>
                <w:szCs w:val="18"/>
              </w:rPr>
              <w:t>0.1</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18E259EF" w14:textId="3AFF8738" w:rsidR="004A477C" w:rsidRPr="004A477C" w:rsidRDefault="004A477C" w:rsidP="004A477C">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3EA0F373" w14:textId="4BE3BAE4" w:rsidR="004A477C" w:rsidRPr="004A477C" w:rsidRDefault="004A477C" w:rsidP="004A477C">
            <w:pPr>
              <w:widowControl w:val="0"/>
              <w:spacing w:line="240" w:lineRule="auto"/>
              <w:jc w:val="right"/>
              <w:rPr>
                <w:sz w:val="18"/>
                <w:szCs w:val="18"/>
              </w:rPr>
            </w:pPr>
            <w:r w:rsidRPr="004A477C">
              <w:rPr>
                <w:sz w:val="18"/>
                <w:szCs w:val="18"/>
              </w:rPr>
              <w:t>--</w:t>
            </w:r>
          </w:p>
        </w:tc>
      </w:tr>
      <w:tr w:rsidR="008806CA" w:rsidRPr="004A477C" w14:paraId="700F81E2" w14:textId="77777777" w:rsidTr="008806CA">
        <w:trPr>
          <w:trHeight w:val="144"/>
        </w:trPr>
        <w:tc>
          <w:tcPr>
            <w:tcW w:w="4655" w:type="dxa"/>
            <w:shd w:val="clear" w:color="auto" w:fill="auto"/>
            <w:tcMar>
              <w:top w:w="0" w:type="dxa"/>
              <w:left w:w="0" w:type="dxa"/>
              <w:bottom w:w="0" w:type="dxa"/>
              <w:right w:w="0" w:type="dxa"/>
            </w:tcMar>
            <w:vAlign w:val="center"/>
          </w:tcPr>
          <w:p w14:paraId="39FE5F2C" w14:textId="73A6DC22" w:rsidR="008806CA" w:rsidRPr="004A477C" w:rsidRDefault="008806CA" w:rsidP="008806CA">
            <w:pPr>
              <w:widowControl w:val="0"/>
              <w:spacing w:line="240" w:lineRule="auto"/>
              <w:rPr>
                <w:sz w:val="18"/>
                <w:szCs w:val="18"/>
              </w:rPr>
            </w:pPr>
            <w:r w:rsidRPr="004A477C">
              <w:rPr>
                <w:sz w:val="18"/>
                <w:szCs w:val="18"/>
              </w:rPr>
              <w:t>Substantial Rehabilitation</w:t>
            </w:r>
          </w:p>
        </w:tc>
        <w:tc>
          <w:tcPr>
            <w:tcW w:w="1350" w:type="dxa"/>
            <w:tcBorders>
              <w:right w:val="single" w:sz="4" w:space="0" w:color="808080" w:themeColor="background1" w:themeShade="80"/>
            </w:tcBorders>
            <w:vAlign w:val="center"/>
          </w:tcPr>
          <w:p w14:paraId="30976047" w14:textId="3B02F91A" w:rsidR="008806CA" w:rsidRPr="004A477C" w:rsidRDefault="008806CA" w:rsidP="008806CA">
            <w:pPr>
              <w:widowControl w:val="0"/>
              <w:spacing w:line="240" w:lineRule="auto"/>
              <w:jc w:val="center"/>
              <w:rPr>
                <w:sz w:val="18"/>
                <w:szCs w:val="18"/>
              </w:rPr>
            </w:pPr>
            <w:r>
              <w:rPr>
                <w:sz w:val="18"/>
                <w:szCs w:val="18"/>
              </w:rPr>
              <w:t>No fault</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6E95F8DE" w14:textId="347967FF" w:rsidR="008806CA" w:rsidRPr="004A477C" w:rsidRDefault="008806CA" w:rsidP="008806CA">
            <w:pPr>
              <w:widowControl w:val="0"/>
              <w:spacing w:line="240" w:lineRule="auto"/>
              <w:jc w:val="right"/>
              <w:rPr>
                <w:sz w:val="18"/>
                <w:szCs w:val="18"/>
              </w:rPr>
            </w:pPr>
            <w:r w:rsidRPr="004A477C">
              <w:rPr>
                <w:sz w:val="18"/>
                <w:szCs w:val="18"/>
              </w:rPr>
              <w:t>7</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0A794D58" w14:textId="2A7EC964" w:rsidR="008806CA" w:rsidRPr="004A477C" w:rsidRDefault="008806CA" w:rsidP="008806CA">
            <w:pPr>
              <w:widowControl w:val="0"/>
              <w:spacing w:line="240" w:lineRule="auto"/>
              <w:jc w:val="right"/>
              <w:rPr>
                <w:sz w:val="18"/>
                <w:szCs w:val="18"/>
              </w:rPr>
            </w:pPr>
            <w:r w:rsidRPr="004A477C">
              <w:rPr>
                <w:sz w:val="18"/>
                <w:szCs w:val="18"/>
              </w:rPr>
              <w:t>0.1</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6A98E3A3" w14:textId="01A057EE" w:rsidR="008806CA" w:rsidRPr="004A477C" w:rsidRDefault="008806CA" w:rsidP="008806CA">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0661C6AD" w14:textId="3B1CF070" w:rsidR="008806CA" w:rsidRPr="004A477C" w:rsidRDefault="008806CA" w:rsidP="008806CA">
            <w:pPr>
              <w:widowControl w:val="0"/>
              <w:spacing w:line="240" w:lineRule="auto"/>
              <w:jc w:val="right"/>
              <w:rPr>
                <w:sz w:val="18"/>
                <w:szCs w:val="18"/>
              </w:rPr>
            </w:pPr>
            <w:r w:rsidRPr="004A477C">
              <w:rPr>
                <w:sz w:val="18"/>
                <w:szCs w:val="18"/>
              </w:rPr>
              <w:t>--</w:t>
            </w:r>
          </w:p>
        </w:tc>
      </w:tr>
      <w:tr w:rsidR="008806CA" w:rsidRPr="004A477C" w14:paraId="06A5C4B7" w14:textId="77777777" w:rsidTr="008806CA">
        <w:trPr>
          <w:trHeight w:val="144"/>
        </w:trPr>
        <w:tc>
          <w:tcPr>
            <w:tcW w:w="4655" w:type="dxa"/>
            <w:shd w:val="clear" w:color="auto" w:fill="auto"/>
            <w:tcMar>
              <w:top w:w="0" w:type="dxa"/>
              <w:left w:w="0" w:type="dxa"/>
              <w:bottom w:w="0" w:type="dxa"/>
              <w:right w:w="0" w:type="dxa"/>
            </w:tcMar>
            <w:vAlign w:val="center"/>
          </w:tcPr>
          <w:p w14:paraId="1DF6AD4B" w14:textId="2FD3EDFF" w:rsidR="008806CA" w:rsidRPr="004A477C" w:rsidRDefault="008806CA" w:rsidP="008806CA">
            <w:pPr>
              <w:widowControl w:val="0"/>
              <w:spacing w:line="240" w:lineRule="auto"/>
              <w:rPr>
                <w:sz w:val="18"/>
                <w:szCs w:val="18"/>
              </w:rPr>
            </w:pPr>
            <w:r w:rsidRPr="004A477C">
              <w:rPr>
                <w:sz w:val="18"/>
                <w:szCs w:val="18"/>
              </w:rPr>
              <w:t>Breach of Lease Agreement Roommate Living in Same Unit</w:t>
            </w:r>
          </w:p>
        </w:tc>
        <w:tc>
          <w:tcPr>
            <w:tcW w:w="1350" w:type="dxa"/>
            <w:tcBorders>
              <w:right w:val="single" w:sz="4" w:space="0" w:color="808080" w:themeColor="background1" w:themeShade="80"/>
            </w:tcBorders>
            <w:vAlign w:val="center"/>
          </w:tcPr>
          <w:p w14:paraId="771B6B59" w14:textId="05CEB088" w:rsidR="008806CA" w:rsidRPr="004A477C" w:rsidRDefault="008806CA" w:rsidP="008806CA">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1B62E932" w14:textId="3A5557F0" w:rsidR="008806CA" w:rsidRPr="004A477C" w:rsidRDefault="008806CA" w:rsidP="008806CA">
            <w:pPr>
              <w:widowControl w:val="0"/>
              <w:spacing w:line="240" w:lineRule="auto"/>
              <w:jc w:val="right"/>
              <w:rPr>
                <w:sz w:val="18"/>
                <w:szCs w:val="18"/>
              </w:rPr>
            </w:pPr>
            <w:r w:rsidRPr="004A477C">
              <w:rPr>
                <w:sz w:val="18"/>
                <w:szCs w:val="18"/>
              </w:rPr>
              <w:t>1</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3C98D990" w14:textId="0AD4F4D4" w:rsidR="008806CA" w:rsidRPr="004A477C" w:rsidRDefault="008806CA" w:rsidP="008806CA">
            <w:pPr>
              <w:widowControl w:val="0"/>
              <w:spacing w:line="240" w:lineRule="auto"/>
              <w:jc w:val="right"/>
              <w:rPr>
                <w:sz w:val="18"/>
                <w:szCs w:val="18"/>
              </w:rPr>
            </w:pPr>
            <w:r w:rsidRPr="004A477C">
              <w:rPr>
                <w:sz w:val="18"/>
                <w:szCs w:val="18"/>
              </w:rPr>
              <w:t>0.0</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4EDF3E35" w14:textId="5BB38552" w:rsidR="008806CA" w:rsidRPr="004A477C" w:rsidRDefault="008806CA" w:rsidP="008806CA">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65624960" w14:textId="74468304" w:rsidR="008806CA" w:rsidRPr="004A477C" w:rsidRDefault="008806CA" w:rsidP="008806CA">
            <w:pPr>
              <w:widowControl w:val="0"/>
              <w:spacing w:line="240" w:lineRule="auto"/>
              <w:jc w:val="right"/>
              <w:rPr>
                <w:sz w:val="18"/>
                <w:szCs w:val="18"/>
              </w:rPr>
            </w:pPr>
            <w:r w:rsidRPr="004A477C">
              <w:rPr>
                <w:sz w:val="18"/>
                <w:szCs w:val="18"/>
              </w:rPr>
              <w:t>--</w:t>
            </w:r>
          </w:p>
        </w:tc>
      </w:tr>
      <w:tr w:rsidR="008806CA" w:rsidRPr="004A477C" w14:paraId="32B8A94C" w14:textId="77777777" w:rsidTr="008806CA">
        <w:trPr>
          <w:trHeight w:val="144"/>
        </w:trPr>
        <w:tc>
          <w:tcPr>
            <w:tcW w:w="4655" w:type="dxa"/>
            <w:shd w:val="clear" w:color="auto" w:fill="auto"/>
            <w:tcMar>
              <w:top w:w="0" w:type="dxa"/>
              <w:left w:w="0" w:type="dxa"/>
              <w:bottom w:w="0" w:type="dxa"/>
              <w:right w:w="0" w:type="dxa"/>
            </w:tcMar>
            <w:vAlign w:val="center"/>
          </w:tcPr>
          <w:p w14:paraId="207855FB" w14:textId="0B64A8D5" w:rsidR="008806CA" w:rsidRPr="004A477C" w:rsidRDefault="008806CA" w:rsidP="008806CA">
            <w:pPr>
              <w:widowControl w:val="0"/>
              <w:spacing w:line="240" w:lineRule="auto"/>
              <w:rPr>
                <w:sz w:val="18"/>
                <w:szCs w:val="18"/>
              </w:rPr>
            </w:pPr>
            <w:r w:rsidRPr="004A477C">
              <w:rPr>
                <w:sz w:val="18"/>
                <w:szCs w:val="18"/>
              </w:rPr>
              <w:t>Breach of Lease Agreement Other</w:t>
            </w:r>
          </w:p>
        </w:tc>
        <w:tc>
          <w:tcPr>
            <w:tcW w:w="1350" w:type="dxa"/>
            <w:tcBorders>
              <w:right w:val="single" w:sz="4" w:space="0" w:color="808080" w:themeColor="background1" w:themeShade="80"/>
            </w:tcBorders>
            <w:vAlign w:val="center"/>
          </w:tcPr>
          <w:p w14:paraId="74DCD06D" w14:textId="6557160A" w:rsidR="008806CA" w:rsidRPr="004A477C" w:rsidRDefault="008806CA" w:rsidP="008806CA">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43874C2F" w14:textId="71F23B60" w:rsidR="008806CA" w:rsidRPr="004A477C" w:rsidRDefault="008806CA" w:rsidP="008806CA">
            <w:pPr>
              <w:widowControl w:val="0"/>
              <w:spacing w:line="240" w:lineRule="auto"/>
              <w:jc w:val="right"/>
              <w:rPr>
                <w:sz w:val="18"/>
                <w:szCs w:val="18"/>
              </w:rPr>
            </w:pPr>
            <w:r w:rsidRPr="004A477C">
              <w:rPr>
                <w:sz w:val="18"/>
                <w:szCs w:val="18"/>
              </w:rPr>
              <w:t>5</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38828449" w14:textId="3B4E3D9A" w:rsidR="008806CA" w:rsidRPr="004A477C" w:rsidRDefault="008806CA" w:rsidP="008806CA">
            <w:pPr>
              <w:widowControl w:val="0"/>
              <w:spacing w:line="240" w:lineRule="auto"/>
              <w:jc w:val="right"/>
              <w:rPr>
                <w:sz w:val="18"/>
                <w:szCs w:val="18"/>
              </w:rPr>
            </w:pPr>
            <w:r w:rsidRPr="004A477C">
              <w:rPr>
                <w:sz w:val="18"/>
                <w:szCs w:val="18"/>
              </w:rPr>
              <w:t>0.0</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0219BCDD" w14:textId="223ED5CE" w:rsidR="008806CA" w:rsidRPr="004A477C" w:rsidRDefault="008806CA" w:rsidP="008806CA">
            <w:pPr>
              <w:widowControl w:val="0"/>
              <w:spacing w:line="240" w:lineRule="auto"/>
              <w:jc w:val="right"/>
              <w:rPr>
                <w:sz w:val="18"/>
                <w:szCs w:val="18"/>
              </w:rPr>
            </w:pPr>
            <w:r w:rsidRPr="004A477C">
              <w:rPr>
                <w:sz w:val="18"/>
                <w:szCs w:val="18"/>
              </w:rPr>
              <w:t>1</w:t>
            </w:r>
          </w:p>
        </w:tc>
        <w:tc>
          <w:tcPr>
            <w:tcW w:w="837" w:type="dxa"/>
            <w:shd w:val="clear" w:color="auto" w:fill="auto"/>
            <w:tcMar>
              <w:top w:w="0" w:type="dxa"/>
              <w:left w:w="0" w:type="dxa"/>
              <w:bottom w:w="0" w:type="dxa"/>
              <w:right w:w="0" w:type="dxa"/>
            </w:tcMar>
            <w:vAlign w:val="center"/>
          </w:tcPr>
          <w:p w14:paraId="306F23AE" w14:textId="28567A60" w:rsidR="008806CA" w:rsidRPr="004A477C" w:rsidRDefault="008806CA" w:rsidP="008806CA">
            <w:pPr>
              <w:widowControl w:val="0"/>
              <w:spacing w:line="240" w:lineRule="auto"/>
              <w:jc w:val="right"/>
              <w:rPr>
                <w:sz w:val="18"/>
                <w:szCs w:val="18"/>
              </w:rPr>
            </w:pPr>
            <w:r w:rsidRPr="004A477C">
              <w:rPr>
                <w:sz w:val="18"/>
                <w:szCs w:val="18"/>
              </w:rPr>
              <w:t>0.5</w:t>
            </w:r>
          </w:p>
        </w:tc>
      </w:tr>
      <w:tr w:rsidR="008806CA" w:rsidRPr="004A477C" w14:paraId="3CCE0503" w14:textId="77777777" w:rsidTr="008806CA">
        <w:trPr>
          <w:trHeight w:val="144"/>
        </w:trPr>
        <w:tc>
          <w:tcPr>
            <w:tcW w:w="4655" w:type="dxa"/>
            <w:shd w:val="clear" w:color="auto" w:fill="auto"/>
            <w:tcMar>
              <w:top w:w="0" w:type="dxa"/>
              <w:left w:w="0" w:type="dxa"/>
              <w:bottom w:w="0" w:type="dxa"/>
              <w:right w:w="0" w:type="dxa"/>
            </w:tcMar>
            <w:vAlign w:val="center"/>
          </w:tcPr>
          <w:p w14:paraId="7143A658" w14:textId="0718493C" w:rsidR="008806CA" w:rsidRPr="004A477C" w:rsidRDefault="008806CA" w:rsidP="008806CA">
            <w:pPr>
              <w:widowControl w:val="0"/>
              <w:spacing w:line="240" w:lineRule="auto"/>
              <w:rPr>
                <w:sz w:val="18"/>
                <w:szCs w:val="18"/>
              </w:rPr>
            </w:pPr>
            <w:r w:rsidRPr="004A477C">
              <w:rPr>
                <w:sz w:val="18"/>
                <w:szCs w:val="18"/>
              </w:rPr>
              <w:t>Roommate Living in Same Unit Nuisance</w:t>
            </w:r>
          </w:p>
        </w:tc>
        <w:tc>
          <w:tcPr>
            <w:tcW w:w="1350" w:type="dxa"/>
            <w:tcBorders>
              <w:right w:val="single" w:sz="4" w:space="0" w:color="808080" w:themeColor="background1" w:themeShade="80"/>
            </w:tcBorders>
            <w:vAlign w:val="center"/>
          </w:tcPr>
          <w:p w14:paraId="453008EE" w14:textId="58F56628" w:rsidR="008806CA" w:rsidRPr="004A477C" w:rsidRDefault="008806CA" w:rsidP="008806CA">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4B5160B9" w14:textId="5634DDDB" w:rsidR="008806CA" w:rsidRPr="004A477C" w:rsidRDefault="008806CA" w:rsidP="008806CA">
            <w:pPr>
              <w:widowControl w:val="0"/>
              <w:spacing w:line="240" w:lineRule="auto"/>
              <w:jc w:val="right"/>
              <w:rPr>
                <w:sz w:val="18"/>
                <w:szCs w:val="18"/>
              </w:rPr>
            </w:pPr>
            <w:r w:rsidRPr="004A477C">
              <w:rPr>
                <w:sz w:val="18"/>
                <w:szCs w:val="18"/>
              </w:rPr>
              <w:t>6</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0BF882A2" w14:textId="2E00DEAD" w:rsidR="008806CA" w:rsidRPr="004A477C" w:rsidRDefault="008806CA" w:rsidP="008806CA">
            <w:pPr>
              <w:widowControl w:val="0"/>
              <w:spacing w:line="240" w:lineRule="auto"/>
              <w:jc w:val="right"/>
              <w:rPr>
                <w:sz w:val="18"/>
                <w:szCs w:val="18"/>
              </w:rPr>
            </w:pPr>
            <w:r w:rsidRPr="004A477C">
              <w:rPr>
                <w:sz w:val="18"/>
                <w:szCs w:val="18"/>
              </w:rPr>
              <w:t>0.0</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57B84A21" w14:textId="19C040F4" w:rsidR="008806CA" w:rsidRPr="004A477C" w:rsidRDefault="008806CA" w:rsidP="008806CA">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5400C68E" w14:textId="36EA5A69" w:rsidR="008806CA" w:rsidRPr="004A477C" w:rsidRDefault="008806CA" w:rsidP="008806CA">
            <w:pPr>
              <w:widowControl w:val="0"/>
              <w:spacing w:line="240" w:lineRule="auto"/>
              <w:jc w:val="right"/>
              <w:rPr>
                <w:sz w:val="18"/>
                <w:szCs w:val="18"/>
              </w:rPr>
            </w:pPr>
            <w:r w:rsidRPr="004A477C">
              <w:rPr>
                <w:sz w:val="18"/>
                <w:szCs w:val="18"/>
              </w:rPr>
              <w:t>--</w:t>
            </w:r>
          </w:p>
        </w:tc>
      </w:tr>
      <w:tr w:rsidR="008806CA" w:rsidRPr="004A477C" w14:paraId="021E2E51" w14:textId="77777777" w:rsidTr="008806CA">
        <w:trPr>
          <w:trHeight w:val="144"/>
        </w:trPr>
        <w:tc>
          <w:tcPr>
            <w:tcW w:w="4655" w:type="dxa"/>
            <w:shd w:val="clear" w:color="auto" w:fill="auto"/>
            <w:tcMar>
              <w:top w:w="0" w:type="dxa"/>
              <w:left w:w="0" w:type="dxa"/>
              <w:bottom w:w="0" w:type="dxa"/>
              <w:right w:w="0" w:type="dxa"/>
            </w:tcMar>
            <w:vAlign w:val="center"/>
          </w:tcPr>
          <w:p w14:paraId="46A30C3F" w14:textId="7AF76249" w:rsidR="008806CA" w:rsidRPr="004A477C" w:rsidRDefault="008806CA" w:rsidP="008806CA">
            <w:pPr>
              <w:widowControl w:val="0"/>
              <w:spacing w:line="240" w:lineRule="auto"/>
              <w:rPr>
                <w:sz w:val="18"/>
                <w:szCs w:val="18"/>
              </w:rPr>
            </w:pPr>
            <w:r w:rsidRPr="004A477C">
              <w:rPr>
                <w:sz w:val="18"/>
                <w:szCs w:val="18"/>
              </w:rPr>
              <w:t>Development Agreement</w:t>
            </w:r>
          </w:p>
        </w:tc>
        <w:tc>
          <w:tcPr>
            <w:tcW w:w="1350" w:type="dxa"/>
            <w:tcBorders>
              <w:right w:val="single" w:sz="4" w:space="0" w:color="808080" w:themeColor="background1" w:themeShade="80"/>
            </w:tcBorders>
            <w:vAlign w:val="center"/>
          </w:tcPr>
          <w:p w14:paraId="6D621500" w14:textId="77DACE6C" w:rsidR="008806CA" w:rsidRPr="004A477C" w:rsidRDefault="008806CA" w:rsidP="008806CA">
            <w:pPr>
              <w:widowControl w:val="0"/>
              <w:spacing w:line="240" w:lineRule="auto"/>
              <w:jc w:val="center"/>
              <w:rPr>
                <w:sz w:val="18"/>
                <w:szCs w:val="18"/>
              </w:rPr>
            </w:pPr>
            <w:r>
              <w:rPr>
                <w:sz w:val="18"/>
                <w:szCs w:val="18"/>
              </w:rPr>
              <w:t>No fault</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7819A3A7" w14:textId="5ED35B4A" w:rsidR="008806CA" w:rsidRPr="004A477C" w:rsidRDefault="008806CA" w:rsidP="008806CA">
            <w:pPr>
              <w:widowControl w:val="0"/>
              <w:spacing w:line="240" w:lineRule="auto"/>
              <w:jc w:val="right"/>
              <w:rPr>
                <w:sz w:val="18"/>
                <w:szCs w:val="18"/>
              </w:rPr>
            </w:pPr>
            <w:r w:rsidRPr="004A477C">
              <w:rPr>
                <w:sz w:val="18"/>
                <w:szCs w:val="18"/>
              </w:rPr>
              <w:t>1</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0AA8248C" w14:textId="5227C48F" w:rsidR="008806CA" w:rsidRPr="004A477C" w:rsidRDefault="008806CA" w:rsidP="008806CA">
            <w:pPr>
              <w:widowControl w:val="0"/>
              <w:spacing w:line="240" w:lineRule="auto"/>
              <w:jc w:val="right"/>
              <w:rPr>
                <w:sz w:val="18"/>
                <w:szCs w:val="18"/>
              </w:rPr>
            </w:pPr>
            <w:r w:rsidRPr="004A477C">
              <w:rPr>
                <w:sz w:val="18"/>
                <w:szCs w:val="18"/>
              </w:rPr>
              <w:t>0.0</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6F8ED178" w14:textId="27D631E2" w:rsidR="008806CA" w:rsidRPr="004A477C" w:rsidRDefault="008806CA" w:rsidP="008806CA">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5506D4CA" w14:textId="5E40562D" w:rsidR="008806CA" w:rsidRPr="004A477C" w:rsidRDefault="008806CA" w:rsidP="008806CA">
            <w:pPr>
              <w:widowControl w:val="0"/>
              <w:spacing w:line="240" w:lineRule="auto"/>
              <w:jc w:val="right"/>
              <w:rPr>
                <w:sz w:val="18"/>
                <w:szCs w:val="18"/>
              </w:rPr>
            </w:pPr>
            <w:r w:rsidRPr="004A477C">
              <w:rPr>
                <w:sz w:val="18"/>
                <w:szCs w:val="18"/>
              </w:rPr>
              <w:t>--</w:t>
            </w:r>
          </w:p>
        </w:tc>
      </w:tr>
      <w:tr w:rsidR="008806CA" w:rsidRPr="004A477C" w14:paraId="32830DEC" w14:textId="77777777" w:rsidTr="008806CA">
        <w:trPr>
          <w:trHeight w:val="144"/>
        </w:trPr>
        <w:tc>
          <w:tcPr>
            <w:tcW w:w="4655" w:type="dxa"/>
            <w:shd w:val="clear" w:color="auto" w:fill="auto"/>
            <w:tcMar>
              <w:top w:w="0" w:type="dxa"/>
              <w:left w:w="0" w:type="dxa"/>
              <w:bottom w:w="0" w:type="dxa"/>
              <w:right w:w="0" w:type="dxa"/>
            </w:tcMar>
            <w:vAlign w:val="center"/>
          </w:tcPr>
          <w:p w14:paraId="5AE3803D" w14:textId="058FAC6C" w:rsidR="008806CA" w:rsidRPr="004A477C" w:rsidRDefault="008806CA" w:rsidP="008806CA">
            <w:pPr>
              <w:widowControl w:val="0"/>
              <w:spacing w:line="240" w:lineRule="auto"/>
              <w:rPr>
                <w:sz w:val="18"/>
                <w:szCs w:val="18"/>
              </w:rPr>
            </w:pPr>
            <w:r w:rsidRPr="004A477C">
              <w:rPr>
                <w:sz w:val="18"/>
                <w:szCs w:val="18"/>
              </w:rPr>
              <w:t>Denial of Access to Unit Breach of Lease Agreement Nuisance</w:t>
            </w:r>
          </w:p>
        </w:tc>
        <w:tc>
          <w:tcPr>
            <w:tcW w:w="1350" w:type="dxa"/>
            <w:tcBorders>
              <w:right w:val="single" w:sz="4" w:space="0" w:color="808080" w:themeColor="background1" w:themeShade="80"/>
            </w:tcBorders>
            <w:vAlign w:val="center"/>
          </w:tcPr>
          <w:p w14:paraId="4FB6633A" w14:textId="004405B1" w:rsidR="008806CA" w:rsidRPr="004A477C" w:rsidRDefault="008806CA" w:rsidP="008806CA">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64BB8172" w14:textId="66CC8926" w:rsidR="008806CA" w:rsidRPr="004A477C" w:rsidRDefault="008806CA" w:rsidP="008806CA">
            <w:pPr>
              <w:widowControl w:val="0"/>
              <w:spacing w:line="240" w:lineRule="auto"/>
              <w:jc w:val="right"/>
              <w:rPr>
                <w:sz w:val="18"/>
                <w:szCs w:val="18"/>
              </w:rPr>
            </w:pPr>
            <w:r w:rsidRPr="004A477C">
              <w:rPr>
                <w:sz w:val="18"/>
                <w:szCs w:val="18"/>
              </w:rPr>
              <w:t>4</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0861E8BB" w14:textId="5AF55079" w:rsidR="008806CA" w:rsidRPr="004A477C" w:rsidRDefault="008806CA" w:rsidP="008806CA">
            <w:pPr>
              <w:widowControl w:val="0"/>
              <w:spacing w:line="240" w:lineRule="auto"/>
              <w:jc w:val="right"/>
              <w:rPr>
                <w:sz w:val="18"/>
                <w:szCs w:val="18"/>
              </w:rPr>
            </w:pPr>
            <w:r w:rsidRPr="004A477C">
              <w:rPr>
                <w:sz w:val="18"/>
                <w:szCs w:val="18"/>
              </w:rPr>
              <w:t>0.0</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2F29FA25" w14:textId="470C6F41" w:rsidR="008806CA" w:rsidRPr="004A477C" w:rsidRDefault="008806CA" w:rsidP="008806CA">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786E175C" w14:textId="131D2535" w:rsidR="008806CA" w:rsidRPr="004A477C" w:rsidRDefault="008806CA" w:rsidP="008806CA">
            <w:pPr>
              <w:widowControl w:val="0"/>
              <w:spacing w:line="240" w:lineRule="auto"/>
              <w:jc w:val="right"/>
              <w:rPr>
                <w:sz w:val="18"/>
                <w:szCs w:val="18"/>
              </w:rPr>
            </w:pPr>
            <w:r w:rsidRPr="004A477C">
              <w:rPr>
                <w:sz w:val="18"/>
                <w:szCs w:val="18"/>
              </w:rPr>
              <w:t>--</w:t>
            </w:r>
          </w:p>
        </w:tc>
      </w:tr>
      <w:tr w:rsidR="008806CA" w:rsidRPr="004A477C" w14:paraId="01F42D13" w14:textId="77777777" w:rsidTr="008806CA">
        <w:trPr>
          <w:trHeight w:val="144"/>
        </w:trPr>
        <w:tc>
          <w:tcPr>
            <w:tcW w:w="4655" w:type="dxa"/>
            <w:shd w:val="clear" w:color="auto" w:fill="auto"/>
            <w:tcMar>
              <w:top w:w="0" w:type="dxa"/>
              <w:left w:w="0" w:type="dxa"/>
              <w:bottom w:w="0" w:type="dxa"/>
              <w:right w:w="0" w:type="dxa"/>
            </w:tcMar>
            <w:vAlign w:val="center"/>
          </w:tcPr>
          <w:p w14:paraId="68B9E6FB" w14:textId="21E327BD" w:rsidR="008806CA" w:rsidRPr="004A477C" w:rsidRDefault="008806CA" w:rsidP="008806CA">
            <w:pPr>
              <w:widowControl w:val="0"/>
              <w:spacing w:line="240" w:lineRule="auto"/>
              <w:rPr>
                <w:sz w:val="18"/>
                <w:szCs w:val="18"/>
              </w:rPr>
            </w:pPr>
            <w:r w:rsidRPr="004A477C">
              <w:rPr>
                <w:sz w:val="18"/>
                <w:szCs w:val="18"/>
              </w:rPr>
              <w:t>Unapproved Subtenant Breach of Lease Agreement Nuisance</w:t>
            </w:r>
          </w:p>
        </w:tc>
        <w:tc>
          <w:tcPr>
            <w:tcW w:w="1350" w:type="dxa"/>
            <w:tcBorders>
              <w:right w:val="single" w:sz="4" w:space="0" w:color="808080" w:themeColor="background1" w:themeShade="80"/>
            </w:tcBorders>
            <w:vAlign w:val="center"/>
          </w:tcPr>
          <w:p w14:paraId="3DD5444F" w14:textId="4C9B0156" w:rsidR="008806CA" w:rsidRPr="004A477C" w:rsidRDefault="008806CA" w:rsidP="008806CA">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3EDF19A1" w14:textId="23097B8B" w:rsidR="008806CA" w:rsidRPr="004A477C" w:rsidRDefault="008806CA" w:rsidP="008806CA">
            <w:pPr>
              <w:widowControl w:val="0"/>
              <w:spacing w:line="240" w:lineRule="auto"/>
              <w:jc w:val="right"/>
              <w:rPr>
                <w:sz w:val="18"/>
                <w:szCs w:val="18"/>
              </w:rPr>
            </w:pPr>
            <w:r w:rsidRPr="004A477C">
              <w:rPr>
                <w:sz w:val="18"/>
                <w:szCs w:val="18"/>
              </w:rPr>
              <w:t>2</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0FE7054A" w14:textId="38B7D339" w:rsidR="008806CA" w:rsidRPr="004A477C" w:rsidRDefault="008806CA" w:rsidP="008806CA">
            <w:pPr>
              <w:widowControl w:val="0"/>
              <w:spacing w:line="240" w:lineRule="auto"/>
              <w:jc w:val="right"/>
              <w:rPr>
                <w:sz w:val="18"/>
                <w:szCs w:val="18"/>
              </w:rPr>
            </w:pPr>
            <w:r w:rsidRPr="004A477C">
              <w:rPr>
                <w:sz w:val="18"/>
                <w:szCs w:val="18"/>
              </w:rPr>
              <w:t>0.0</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2CC2AC85" w14:textId="49E67686" w:rsidR="008806CA" w:rsidRPr="004A477C" w:rsidRDefault="008806CA" w:rsidP="008806CA">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43612C7A" w14:textId="0F2E13F9" w:rsidR="008806CA" w:rsidRPr="004A477C" w:rsidRDefault="008806CA" w:rsidP="008806CA">
            <w:pPr>
              <w:widowControl w:val="0"/>
              <w:spacing w:line="240" w:lineRule="auto"/>
              <w:jc w:val="right"/>
              <w:rPr>
                <w:sz w:val="18"/>
                <w:szCs w:val="18"/>
              </w:rPr>
            </w:pPr>
            <w:r w:rsidRPr="004A477C">
              <w:rPr>
                <w:sz w:val="18"/>
                <w:szCs w:val="18"/>
              </w:rPr>
              <w:t>--</w:t>
            </w:r>
          </w:p>
        </w:tc>
      </w:tr>
      <w:tr w:rsidR="008806CA" w:rsidRPr="004A477C" w14:paraId="2E20B71C" w14:textId="77777777" w:rsidTr="008806CA">
        <w:trPr>
          <w:trHeight w:val="144"/>
        </w:trPr>
        <w:tc>
          <w:tcPr>
            <w:tcW w:w="4655" w:type="dxa"/>
            <w:shd w:val="clear" w:color="auto" w:fill="auto"/>
            <w:tcMar>
              <w:top w:w="0" w:type="dxa"/>
              <w:left w:w="0" w:type="dxa"/>
              <w:bottom w:w="0" w:type="dxa"/>
              <w:right w:w="0" w:type="dxa"/>
            </w:tcMar>
            <w:vAlign w:val="center"/>
          </w:tcPr>
          <w:p w14:paraId="0F71E2D5" w14:textId="06E48EC6" w:rsidR="008806CA" w:rsidRPr="004A477C" w:rsidRDefault="008806CA" w:rsidP="008806CA">
            <w:pPr>
              <w:widowControl w:val="0"/>
              <w:spacing w:line="240" w:lineRule="auto"/>
              <w:ind w:left="243" w:hanging="243"/>
              <w:rPr>
                <w:sz w:val="18"/>
                <w:szCs w:val="18"/>
              </w:rPr>
            </w:pPr>
            <w:r w:rsidRPr="004A477C">
              <w:rPr>
                <w:sz w:val="18"/>
                <w:szCs w:val="18"/>
              </w:rPr>
              <w:t>Unapproved Subtenant Breach of Lease Agreement Nuisance Illegal Use of Unit</w:t>
            </w:r>
          </w:p>
        </w:tc>
        <w:tc>
          <w:tcPr>
            <w:tcW w:w="1350" w:type="dxa"/>
            <w:tcBorders>
              <w:right w:val="single" w:sz="4" w:space="0" w:color="808080" w:themeColor="background1" w:themeShade="80"/>
            </w:tcBorders>
            <w:vAlign w:val="center"/>
          </w:tcPr>
          <w:p w14:paraId="598F2BEA" w14:textId="718F1642" w:rsidR="008806CA" w:rsidRPr="004A477C" w:rsidRDefault="008806CA" w:rsidP="008806CA">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1F17D050" w14:textId="39AA691C" w:rsidR="008806CA" w:rsidRPr="004A477C" w:rsidRDefault="008806CA" w:rsidP="008806CA">
            <w:pPr>
              <w:widowControl w:val="0"/>
              <w:spacing w:line="240" w:lineRule="auto"/>
              <w:jc w:val="right"/>
              <w:rPr>
                <w:sz w:val="18"/>
                <w:szCs w:val="18"/>
              </w:rPr>
            </w:pPr>
            <w:r w:rsidRPr="004A477C">
              <w:rPr>
                <w:sz w:val="18"/>
                <w:szCs w:val="18"/>
              </w:rPr>
              <w:t>1</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6F9F49C0" w14:textId="74A380F3" w:rsidR="008806CA" w:rsidRPr="004A477C" w:rsidRDefault="008806CA" w:rsidP="008806CA">
            <w:pPr>
              <w:widowControl w:val="0"/>
              <w:spacing w:line="240" w:lineRule="auto"/>
              <w:jc w:val="right"/>
              <w:rPr>
                <w:sz w:val="18"/>
                <w:szCs w:val="18"/>
              </w:rPr>
            </w:pPr>
            <w:r w:rsidRPr="004A477C">
              <w:rPr>
                <w:sz w:val="18"/>
                <w:szCs w:val="18"/>
              </w:rPr>
              <w:t>0.0</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4CDD4FE6" w14:textId="1CD934FC" w:rsidR="008806CA" w:rsidRPr="004A477C" w:rsidRDefault="008806CA" w:rsidP="008806CA">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614EFBDA" w14:textId="47F7E6FB" w:rsidR="008806CA" w:rsidRPr="004A477C" w:rsidRDefault="008806CA" w:rsidP="008806CA">
            <w:pPr>
              <w:widowControl w:val="0"/>
              <w:spacing w:line="240" w:lineRule="auto"/>
              <w:jc w:val="right"/>
              <w:rPr>
                <w:sz w:val="18"/>
                <w:szCs w:val="18"/>
              </w:rPr>
            </w:pPr>
            <w:r w:rsidRPr="004A477C">
              <w:rPr>
                <w:sz w:val="18"/>
                <w:szCs w:val="18"/>
              </w:rPr>
              <w:t>--</w:t>
            </w:r>
          </w:p>
        </w:tc>
      </w:tr>
      <w:tr w:rsidR="008806CA" w:rsidRPr="004A477C" w14:paraId="2A4BB375" w14:textId="77777777" w:rsidTr="008806CA">
        <w:trPr>
          <w:trHeight w:val="144"/>
        </w:trPr>
        <w:tc>
          <w:tcPr>
            <w:tcW w:w="4655" w:type="dxa"/>
            <w:shd w:val="clear" w:color="auto" w:fill="auto"/>
            <w:tcMar>
              <w:top w:w="0" w:type="dxa"/>
              <w:left w:w="0" w:type="dxa"/>
              <w:bottom w:w="0" w:type="dxa"/>
              <w:right w:w="0" w:type="dxa"/>
            </w:tcMar>
            <w:vAlign w:val="center"/>
          </w:tcPr>
          <w:p w14:paraId="381D69A4" w14:textId="1B0B6284" w:rsidR="008806CA" w:rsidRPr="004A477C" w:rsidRDefault="008806CA" w:rsidP="008806CA">
            <w:pPr>
              <w:widowControl w:val="0"/>
              <w:spacing w:line="240" w:lineRule="auto"/>
              <w:rPr>
                <w:sz w:val="18"/>
                <w:szCs w:val="18"/>
              </w:rPr>
            </w:pPr>
            <w:r w:rsidRPr="004A477C">
              <w:rPr>
                <w:sz w:val="18"/>
                <w:szCs w:val="18"/>
              </w:rPr>
              <w:t>Unapproved Subtenant Illegal Use of Unit</w:t>
            </w:r>
          </w:p>
        </w:tc>
        <w:tc>
          <w:tcPr>
            <w:tcW w:w="1350" w:type="dxa"/>
            <w:tcBorders>
              <w:right w:val="single" w:sz="4" w:space="0" w:color="808080" w:themeColor="background1" w:themeShade="80"/>
            </w:tcBorders>
            <w:vAlign w:val="center"/>
          </w:tcPr>
          <w:p w14:paraId="33FA1EAA" w14:textId="1955DE49" w:rsidR="008806CA" w:rsidRPr="004A477C" w:rsidRDefault="008806CA" w:rsidP="008806CA">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5B6A8275" w14:textId="64949A8E" w:rsidR="008806CA" w:rsidRPr="004A477C" w:rsidRDefault="008806CA" w:rsidP="008806CA">
            <w:pPr>
              <w:widowControl w:val="0"/>
              <w:spacing w:line="240" w:lineRule="auto"/>
              <w:jc w:val="right"/>
              <w:rPr>
                <w:sz w:val="18"/>
                <w:szCs w:val="18"/>
              </w:rPr>
            </w:pPr>
            <w:r w:rsidRPr="004A477C">
              <w:rPr>
                <w:sz w:val="18"/>
                <w:szCs w:val="18"/>
              </w:rPr>
              <w:t>1</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201BA017" w14:textId="5238D1F9" w:rsidR="008806CA" w:rsidRPr="004A477C" w:rsidRDefault="008806CA" w:rsidP="008806CA">
            <w:pPr>
              <w:widowControl w:val="0"/>
              <w:spacing w:line="240" w:lineRule="auto"/>
              <w:jc w:val="right"/>
              <w:rPr>
                <w:sz w:val="18"/>
                <w:szCs w:val="18"/>
              </w:rPr>
            </w:pPr>
            <w:r w:rsidRPr="004A477C">
              <w:rPr>
                <w:sz w:val="18"/>
                <w:szCs w:val="18"/>
              </w:rPr>
              <w:t>0.0</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5ED9672C" w14:textId="61C68A21" w:rsidR="008806CA" w:rsidRPr="004A477C" w:rsidRDefault="008806CA" w:rsidP="008806CA">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5557F480" w14:textId="65417BE6" w:rsidR="008806CA" w:rsidRPr="004A477C" w:rsidRDefault="008806CA" w:rsidP="008806CA">
            <w:pPr>
              <w:widowControl w:val="0"/>
              <w:spacing w:line="240" w:lineRule="auto"/>
              <w:jc w:val="right"/>
              <w:rPr>
                <w:sz w:val="18"/>
                <w:szCs w:val="18"/>
              </w:rPr>
            </w:pPr>
            <w:r w:rsidRPr="004A477C">
              <w:rPr>
                <w:sz w:val="18"/>
                <w:szCs w:val="18"/>
              </w:rPr>
              <w:t>--</w:t>
            </w:r>
          </w:p>
        </w:tc>
      </w:tr>
      <w:tr w:rsidR="008806CA" w:rsidRPr="004A477C" w14:paraId="5323DB7D" w14:textId="77777777" w:rsidTr="008806CA">
        <w:trPr>
          <w:trHeight w:val="144"/>
        </w:trPr>
        <w:tc>
          <w:tcPr>
            <w:tcW w:w="4655" w:type="dxa"/>
            <w:shd w:val="clear" w:color="auto" w:fill="auto"/>
            <w:tcMar>
              <w:top w:w="0" w:type="dxa"/>
              <w:left w:w="0" w:type="dxa"/>
              <w:bottom w:w="0" w:type="dxa"/>
              <w:right w:w="0" w:type="dxa"/>
            </w:tcMar>
            <w:vAlign w:val="center"/>
          </w:tcPr>
          <w:p w14:paraId="35306AFE" w14:textId="21B86FC4" w:rsidR="008806CA" w:rsidRPr="004A477C" w:rsidRDefault="008806CA" w:rsidP="008806CA">
            <w:pPr>
              <w:widowControl w:val="0"/>
              <w:spacing w:line="240" w:lineRule="auto"/>
              <w:rPr>
                <w:sz w:val="18"/>
                <w:szCs w:val="18"/>
              </w:rPr>
            </w:pPr>
            <w:r w:rsidRPr="004A477C">
              <w:rPr>
                <w:sz w:val="18"/>
                <w:szCs w:val="18"/>
              </w:rPr>
              <w:t>Unapproved Subtenant Nuisance</w:t>
            </w:r>
          </w:p>
        </w:tc>
        <w:tc>
          <w:tcPr>
            <w:tcW w:w="1350" w:type="dxa"/>
            <w:tcBorders>
              <w:right w:val="single" w:sz="4" w:space="0" w:color="808080" w:themeColor="background1" w:themeShade="80"/>
            </w:tcBorders>
            <w:vAlign w:val="center"/>
          </w:tcPr>
          <w:p w14:paraId="021A520F" w14:textId="0E3D5730" w:rsidR="008806CA" w:rsidRPr="004A477C" w:rsidRDefault="008806CA" w:rsidP="008806CA">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1D8563CC" w14:textId="1D773AE0" w:rsidR="008806CA" w:rsidRPr="004A477C" w:rsidRDefault="008806CA" w:rsidP="008806CA">
            <w:pPr>
              <w:widowControl w:val="0"/>
              <w:spacing w:line="240" w:lineRule="auto"/>
              <w:jc w:val="right"/>
              <w:rPr>
                <w:sz w:val="18"/>
                <w:szCs w:val="18"/>
              </w:rPr>
            </w:pPr>
            <w:r w:rsidRPr="004A477C">
              <w:rPr>
                <w:sz w:val="18"/>
                <w:szCs w:val="18"/>
              </w:rPr>
              <w:t>1</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21525490" w14:textId="46F77508" w:rsidR="008806CA" w:rsidRPr="004A477C" w:rsidRDefault="008806CA" w:rsidP="008806CA">
            <w:pPr>
              <w:widowControl w:val="0"/>
              <w:spacing w:line="240" w:lineRule="auto"/>
              <w:jc w:val="right"/>
              <w:rPr>
                <w:sz w:val="18"/>
                <w:szCs w:val="18"/>
              </w:rPr>
            </w:pPr>
            <w:r w:rsidRPr="004A477C">
              <w:rPr>
                <w:sz w:val="18"/>
                <w:szCs w:val="18"/>
              </w:rPr>
              <w:t>0.0</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6E82EEC7" w14:textId="39BD69CD" w:rsidR="008806CA" w:rsidRPr="004A477C" w:rsidRDefault="008806CA" w:rsidP="008806CA">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300F39A9" w14:textId="7387D8BC" w:rsidR="008806CA" w:rsidRPr="004A477C" w:rsidRDefault="008806CA" w:rsidP="008806CA">
            <w:pPr>
              <w:widowControl w:val="0"/>
              <w:spacing w:line="240" w:lineRule="auto"/>
              <w:jc w:val="right"/>
              <w:rPr>
                <w:sz w:val="18"/>
                <w:szCs w:val="18"/>
              </w:rPr>
            </w:pPr>
            <w:r w:rsidRPr="004A477C">
              <w:rPr>
                <w:sz w:val="18"/>
                <w:szCs w:val="18"/>
              </w:rPr>
              <w:t>--</w:t>
            </w:r>
          </w:p>
        </w:tc>
      </w:tr>
      <w:tr w:rsidR="008806CA" w:rsidRPr="004A477C" w14:paraId="06055235" w14:textId="77777777" w:rsidTr="008806CA">
        <w:trPr>
          <w:trHeight w:val="144"/>
        </w:trPr>
        <w:tc>
          <w:tcPr>
            <w:tcW w:w="4655" w:type="dxa"/>
            <w:shd w:val="clear" w:color="auto" w:fill="auto"/>
            <w:tcMar>
              <w:top w:w="0" w:type="dxa"/>
              <w:left w:w="0" w:type="dxa"/>
              <w:bottom w:w="0" w:type="dxa"/>
              <w:right w:w="0" w:type="dxa"/>
            </w:tcMar>
            <w:vAlign w:val="center"/>
          </w:tcPr>
          <w:p w14:paraId="21A8351C" w14:textId="3A92F8B8" w:rsidR="008806CA" w:rsidRPr="004A477C" w:rsidRDefault="008806CA" w:rsidP="008806CA">
            <w:pPr>
              <w:widowControl w:val="0"/>
              <w:spacing w:line="240" w:lineRule="auto"/>
              <w:rPr>
                <w:sz w:val="18"/>
                <w:szCs w:val="18"/>
              </w:rPr>
            </w:pPr>
            <w:r w:rsidRPr="004A477C">
              <w:rPr>
                <w:sz w:val="18"/>
                <w:szCs w:val="18"/>
              </w:rPr>
              <w:t>Unapproved Subtenant Nuisance Illegal Use of Unit</w:t>
            </w:r>
          </w:p>
        </w:tc>
        <w:tc>
          <w:tcPr>
            <w:tcW w:w="1350" w:type="dxa"/>
            <w:tcBorders>
              <w:right w:val="single" w:sz="4" w:space="0" w:color="808080" w:themeColor="background1" w:themeShade="80"/>
            </w:tcBorders>
            <w:vAlign w:val="center"/>
          </w:tcPr>
          <w:p w14:paraId="6BAD3709" w14:textId="6246768C" w:rsidR="008806CA" w:rsidRPr="004A477C" w:rsidRDefault="008806CA" w:rsidP="008806CA">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4D0A3FD3" w14:textId="46CAC325" w:rsidR="008806CA" w:rsidRPr="004A477C" w:rsidRDefault="008806CA" w:rsidP="008806CA">
            <w:pPr>
              <w:widowControl w:val="0"/>
              <w:spacing w:line="240" w:lineRule="auto"/>
              <w:jc w:val="right"/>
              <w:rPr>
                <w:sz w:val="18"/>
                <w:szCs w:val="18"/>
              </w:rPr>
            </w:pPr>
            <w:r w:rsidRPr="004A477C">
              <w:rPr>
                <w:sz w:val="18"/>
                <w:szCs w:val="18"/>
              </w:rPr>
              <w:t>2</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1D3F5487" w14:textId="23E76369" w:rsidR="008806CA" w:rsidRPr="004A477C" w:rsidRDefault="008806CA" w:rsidP="008806CA">
            <w:pPr>
              <w:widowControl w:val="0"/>
              <w:spacing w:line="240" w:lineRule="auto"/>
              <w:jc w:val="right"/>
              <w:rPr>
                <w:sz w:val="18"/>
                <w:szCs w:val="18"/>
              </w:rPr>
            </w:pPr>
            <w:r w:rsidRPr="004A477C">
              <w:rPr>
                <w:sz w:val="18"/>
                <w:szCs w:val="18"/>
              </w:rPr>
              <w:t>0.0</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219A6E7A" w14:textId="101B2367" w:rsidR="008806CA" w:rsidRPr="004A477C" w:rsidRDefault="008806CA" w:rsidP="008806CA">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3C8CF0F9" w14:textId="6AB60D96" w:rsidR="008806CA" w:rsidRPr="004A477C" w:rsidRDefault="008806CA" w:rsidP="008806CA">
            <w:pPr>
              <w:widowControl w:val="0"/>
              <w:spacing w:line="240" w:lineRule="auto"/>
              <w:jc w:val="right"/>
              <w:rPr>
                <w:sz w:val="18"/>
                <w:szCs w:val="18"/>
              </w:rPr>
            </w:pPr>
            <w:r w:rsidRPr="004A477C">
              <w:rPr>
                <w:sz w:val="18"/>
                <w:szCs w:val="18"/>
              </w:rPr>
              <w:t>--</w:t>
            </w:r>
          </w:p>
        </w:tc>
      </w:tr>
      <w:tr w:rsidR="008806CA" w:rsidRPr="004A477C" w14:paraId="28718923" w14:textId="77777777" w:rsidTr="008806CA">
        <w:trPr>
          <w:trHeight w:val="144"/>
        </w:trPr>
        <w:tc>
          <w:tcPr>
            <w:tcW w:w="4655" w:type="dxa"/>
            <w:shd w:val="clear" w:color="auto" w:fill="auto"/>
            <w:tcMar>
              <w:top w:w="0" w:type="dxa"/>
              <w:left w:w="0" w:type="dxa"/>
              <w:bottom w:w="0" w:type="dxa"/>
              <w:right w:w="0" w:type="dxa"/>
            </w:tcMar>
            <w:vAlign w:val="center"/>
          </w:tcPr>
          <w:p w14:paraId="152F7540" w14:textId="1EE982C0" w:rsidR="008806CA" w:rsidRPr="004A477C" w:rsidRDefault="008806CA" w:rsidP="008806CA">
            <w:pPr>
              <w:widowControl w:val="0"/>
              <w:spacing w:line="240" w:lineRule="auto"/>
              <w:rPr>
                <w:sz w:val="18"/>
                <w:szCs w:val="18"/>
              </w:rPr>
            </w:pPr>
            <w:r w:rsidRPr="004A477C">
              <w:rPr>
                <w:sz w:val="18"/>
                <w:szCs w:val="18"/>
              </w:rPr>
              <w:t>Nuisance Capital Improvement</w:t>
            </w:r>
          </w:p>
        </w:tc>
        <w:tc>
          <w:tcPr>
            <w:tcW w:w="1350" w:type="dxa"/>
            <w:tcBorders>
              <w:right w:val="single" w:sz="4" w:space="0" w:color="808080" w:themeColor="background1" w:themeShade="80"/>
            </w:tcBorders>
            <w:vAlign w:val="center"/>
          </w:tcPr>
          <w:p w14:paraId="04438D6F" w14:textId="443EB5D8" w:rsidR="008806CA" w:rsidRPr="004A477C" w:rsidRDefault="008806CA" w:rsidP="008806CA">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58B1E25A" w14:textId="6F2547E2" w:rsidR="008806CA" w:rsidRPr="004A477C" w:rsidRDefault="008806CA" w:rsidP="008806CA">
            <w:pPr>
              <w:widowControl w:val="0"/>
              <w:spacing w:line="240" w:lineRule="auto"/>
              <w:jc w:val="right"/>
              <w:rPr>
                <w:sz w:val="18"/>
                <w:szCs w:val="18"/>
              </w:rPr>
            </w:pPr>
            <w:r w:rsidRPr="004A477C">
              <w:rPr>
                <w:sz w:val="18"/>
                <w:szCs w:val="18"/>
              </w:rPr>
              <w:t>1</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3B458930" w14:textId="619FC2EC" w:rsidR="008806CA" w:rsidRPr="004A477C" w:rsidRDefault="008806CA" w:rsidP="008806CA">
            <w:pPr>
              <w:widowControl w:val="0"/>
              <w:spacing w:line="240" w:lineRule="auto"/>
              <w:jc w:val="right"/>
              <w:rPr>
                <w:sz w:val="18"/>
                <w:szCs w:val="18"/>
              </w:rPr>
            </w:pPr>
            <w:r w:rsidRPr="004A477C">
              <w:rPr>
                <w:sz w:val="18"/>
                <w:szCs w:val="18"/>
              </w:rPr>
              <w:t>0.0</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75ACBEE4" w14:textId="7B65DB77" w:rsidR="008806CA" w:rsidRPr="004A477C" w:rsidRDefault="008806CA" w:rsidP="008806CA">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7F242377" w14:textId="049F3C2D" w:rsidR="008806CA" w:rsidRPr="004A477C" w:rsidRDefault="008806CA" w:rsidP="008806CA">
            <w:pPr>
              <w:widowControl w:val="0"/>
              <w:spacing w:line="240" w:lineRule="auto"/>
              <w:jc w:val="right"/>
              <w:rPr>
                <w:sz w:val="18"/>
                <w:szCs w:val="18"/>
              </w:rPr>
            </w:pPr>
            <w:r w:rsidRPr="004A477C">
              <w:rPr>
                <w:sz w:val="18"/>
                <w:szCs w:val="18"/>
              </w:rPr>
              <w:t>--</w:t>
            </w:r>
          </w:p>
        </w:tc>
      </w:tr>
      <w:tr w:rsidR="008806CA" w:rsidRPr="004A477C" w14:paraId="6B842B32" w14:textId="77777777" w:rsidTr="008806CA">
        <w:trPr>
          <w:trHeight w:val="144"/>
        </w:trPr>
        <w:tc>
          <w:tcPr>
            <w:tcW w:w="4655" w:type="dxa"/>
            <w:shd w:val="clear" w:color="auto" w:fill="auto"/>
            <w:tcMar>
              <w:top w:w="0" w:type="dxa"/>
              <w:left w:w="0" w:type="dxa"/>
              <w:bottom w:w="0" w:type="dxa"/>
              <w:right w:w="0" w:type="dxa"/>
            </w:tcMar>
            <w:vAlign w:val="center"/>
          </w:tcPr>
          <w:p w14:paraId="26A6D5C3" w14:textId="49FB2650" w:rsidR="008806CA" w:rsidRPr="004A477C" w:rsidRDefault="008806CA" w:rsidP="008806CA">
            <w:pPr>
              <w:widowControl w:val="0"/>
              <w:spacing w:line="240" w:lineRule="auto"/>
              <w:rPr>
                <w:sz w:val="18"/>
                <w:szCs w:val="18"/>
              </w:rPr>
            </w:pPr>
            <w:r w:rsidRPr="004A477C">
              <w:rPr>
                <w:sz w:val="18"/>
                <w:szCs w:val="18"/>
              </w:rPr>
              <w:t>Non-payment of Rent Nuisance</w:t>
            </w:r>
          </w:p>
        </w:tc>
        <w:tc>
          <w:tcPr>
            <w:tcW w:w="1350" w:type="dxa"/>
            <w:tcBorders>
              <w:right w:val="single" w:sz="4" w:space="0" w:color="808080" w:themeColor="background1" w:themeShade="80"/>
            </w:tcBorders>
            <w:vAlign w:val="center"/>
          </w:tcPr>
          <w:p w14:paraId="3BD611A9" w14:textId="6013D2CA" w:rsidR="008806CA" w:rsidRPr="004A477C" w:rsidRDefault="008806CA" w:rsidP="008806CA">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69636FB5" w14:textId="2E959731" w:rsidR="008806CA" w:rsidRPr="004A477C" w:rsidRDefault="008806CA" w:rsidP="008806CA">
            <w:pPr>
              <w:widowControl w:val="0"/>
              <w:spacing w:line="240" w:lineRule="auto"/>
              <w:jc w:val="right"/>
              <w:rPr>
                <w:sz w:val="18"/>
                <w:szCs w:val="18"/>
              </w:rPr>
            </w:pPr>
            <w:r w:rsidRPr="004A477C">
              <w:rPr>
                <w:sz w:val="18"/>
                <w:szCs w:val="18"/>
              </w:rPr>
              <w:t>2</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26C152BD" w14:textId="3CAEE0DF" w:rsidR="008806CA" w:rsidRPr="004A477C" w:rsidRDefault="008806CA" w:rsidP="008806CA">
            <w:pPr>
              <w:widowControl w:val="0"/>
              <w:spacing w:line="240" w:lineRule="auto"/>
              <w:jc w:val="right"/>
              <w:rPr>
                <w:sz w:val="18"/>
                <w:szCs w:val="18"/>
              </w:rPr>
            </w:pPr>
            <w:r w:rsidRPr="004A477C">
              <w:rPr>
                <w:sz w:val="18"/>
                <w:szCs w:val="18"/>
              </w:rPr>
              <w:t>0.0</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618FEA49" w14:textId="369A5535" w:rsidR="008806CA" w:rsidRPr="004A477C" w:rsidRDefault="008806CA" w:rsidP="008806CA">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691BD340" w14:textId="43ADBAE1" w:rsidR="008806CA" w:rsidRPr="004A477C" w:rsidRDefault="008806CA" w:rsidP="008806CA">
            <w:pPr>
              <w:widowControl w:val="0"/>
              <w:spacing w:line="240" w:lineRule="auto"/>
              <w:jc w:val="right"/>
              <w:rPr>
                <w:sz w:val="18"/>
                <w:szCs w:val="18"/>
              </w:rPr>
            </w:pPr>
            <w:r w:rsidRPr="004A477C">
              <w:rPr>
                <w:sz w:val="18"/>
                <w:szCs w:val="18"/>
              </w:rPr>
              <w:t>--</w:t>
            </w:r>
          </w:p>
        </w:tc>
      </w:tr>
      <w:tr w:rsidR="008806CA" w:rsidRPr="004A477C" w14:paraId="778B513F" w14:textId="77777777" w:rsidTr="008806CA">
        <w:trPr>
          <w:trHeight w:val="144"/>
        </w:trPr>
        <w:tc>
          <w:tcPr>
            <w:tcW w:w="4655" w:type="dxa"/>
            <w:shd w:val="clear" w:color="auto" w:fill="auto"/>
            <w:tcMar>
              <w:top w:w="0" w:type="dxa"/>
              <w:left w:w="0" w:type="dxa"/>
              <w:bottom w:w="0" w:type="dxa"/>
              <w:right w:w="0" w:type="dxa"/>
            </w:tcMar>
            <w:vAlign w:val="center"/>
          </w:tcPr>
          <w:p w14:paraId="4879FB0D" w14:textId="12C23A1E" w:rsidR="008806CA" w:rsidRPr="004A477C" w:rsidRDefault="008806CA" w:rsidP="008806CA">
            <w:pPr>
              <w:widowControl w:val="0"/>
              <w:spacing w:line="240" w:lineRule="auto"/>
              <w:rPr>
                <w:sz w:val="18"/>
                <w:szCs w:val="18"/>
              </w:rPr>
            </w:pPr>
            <w:r w:rsidRPr="004A477C">
              <w:rPr>
                <w:sz w:val="18"/>
                <w:szCs w:val="18"/>
              </w:rPr>
              <w:t>Non-payment of Rent Unapproved Subtenant</w:t>
            </w:r>
          </w:p>
        </w:tc>
        <w:tc>
          <w:tcPr>
            <w:tcW w:w="1350" w:type="dxa"/>
            <w:tcBorders>
              <w:right w:val="single" w:sz="4" w:space="0" w:color="808080" w:themeColor="background1" w:themeShade="80"/>
            </w:tcBorders>
            <w:vAlign w:val="center"/>
          </w:tcPr>
          <w:p w14:paraId="57034450" w14:textId="738A7236" w:rsidR="008806CA" w:rsidRPr="004A477C" w:rsidRDefault="008806CA" w:rsidP="008806CA">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0AA0EC21" w14:textId="1E705896" w:rsidR="008806CA" w:rsidRPr="004A477C" w:rsidRDefault="008806CA" w:rsidP="008806CA">
            <w:pPr>
              <w:widowControl w:val="0"/>
              <w:spacing w:line="240" w:lineRule="auto"/>
              <w:jc w:val="right"/>
              <w:rPr>
                <w:sz w:val="18"/>
                <w:szCs w:val="18"/>
              </w:rPr>
            </w:pPr>
            <w:r w:rsidRPr="004A477C">
              <w:rPr>
                <w:sz w:val="18"/>
                <w:szCs w:val="18"/>
              </w:rPr>
              <w:t>1</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5A8F6FA0" w14:textId="18D821BC" w:rsidR="008806CA" w:rsidRPr="004A477C" w:rsidRDefault="008806CA" w:rsidP="008806CA">
            <w:pPr>
              <w:widowControl w:val="0"/>
              <w:spacing w:line="240" w:lineRule="auto"/>
              <w:jc w:val="right"/>
              <w:rPr>
                <w:sz w:val="18"/>
                <w:szCs w:val="18"/>
              </w:rPr>
            </w:pPr>
            <w:r w:rsidRPr="004A477C">
              <w:rPr>
                <w:sz w:val="18"/>
                <w:szCs w:val="18"/>
              </w:rPr>
              <w:t>0.0</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4BBA2B76" w14:textId="3FAFF59D" w:rsidR="008806CA" w:rsidRPr="004A477C" w:rsidRDefault="008806CA" w:rsidP="008806CA">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40221BA5" w14:textId="108E2CFC" w:rsidR="008806CA" w:rsidRPr="004A477C" w:rsidRDefault="008806CA" w:rsidP="008806CA">
            <w:pPr>
              <w:widowControl w:val="0"/>
              <w:spacing w:line="240" w:lineRule="auto"/>
              <w:jc w:val="right"/>
              <w:rPr>
                <w:sz w:val="18"/>
                <w:szCs w:val="18"/>
              </w:rPr>
            </w:pPr>
            <w:r w:rsidRPr="004A477C">
              <w:rPr>
                <w:sz w:val="18"/>
                <w:szCs w:val="18"/>
              </w:rPr>
              <w:t>--</w:t>
            </w:r>
          </w:p>
        </w:tc>
      </w:tr>
      <w:tr w:rsidR="008806CA" w:rsidRPr="004A477C" w14:paraId="49A289A2" w14:textId="77777777" w:rsidTr="008806CA">
        <w:trPr>
          <w:trHeight w:val="144"/>
        </w:trPr>
        <w:tc>
          <w:tcPr>
            <w:tcW w:w="4655" w:type="dxa"/>
            <w:shd w:val="clear" w:color="auto" w:fill="auto"/>
            <w:tcMar>
              <w:top w:w="0" w:type="dxa"/>
              <w:left w:w="0" w:type="dxa"/>
              <w:bottom w:w="0" w:type="dxa"/>
              <w:right w:w="0" w:type="dxa"/>
            </w:tcMar>
            <w:vAlign w:val="center"/>
          </w:tcPr>
          <w:p w14:paraId="36B8C297" w14:textId="429CD0B3" w:rsidR="008806CA" w:rsidRPr="004A477C" w:rsidRDefault="008806CA" w:rsidP="008806CA">
            <w:pPr>
              <w:widowControl w:val="0"/>
              <w:spacing w:line="240" w:lineRule="auto"/>
              <w:rPr>
                <w:sz w:val="18"/>
                <w:szCs w:val="18"/>
              </w:rPr>
            </w:pPr>
            <w:r w:rsidRPr="004A477C">
              <w:rPr>
                <w:sz w:val="18"/>
                <w:szCs w:val="18"/>
              </w:rPr>
              <w:t>Non-payment of Rent Other</w:t>
            </w:r>
          </w:p>
        </w:tc>
        <w:tc>
          <w:tcPr>
            <w:tcW w:w="1350" w:type="dxa"/>
            <w:tcBorders>
              <w:right w:val="single" w:sz="4" w:space="0" w:color="808080" w:themeColor="background1" w:themeShade="80"/>
            </w:tcBorders>
            <w:vAlign w:val="center"/>
          </w:tcPr>
          <w:p w14:paraId="1BC2FA50" w14:textId="214C71DD" w:rsidR="008806CA" w:rsidRPr="004A477C" w:rsidRDefault="008806CA" w:rsidP="008806CA">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690DF97D" w14:textId="33609864" w:rsidR="008806CA" w:rsidRPr="004A477C" w:rsidRDefault="008806CA" w:rsidP="008806CA">
            <w:pPr>
              <w:widowControl w:val="0"/>
              <w:spacing w:line="240" w:lineRule="auto"/>
              <w:jc w:val="right"/>
              <w:rPr>
                <w:sz w:val="18"/>
                <w:szCs w:val="18"/>
              </w:rPr>
            </w:pPr>
            <w:r w:rsidRPr="004A477C">
              <w:rPr>
                <w:sz w:val="18"/>
                <w:szCs w:val="18"/>
              </w:rPr>
              <w:t>1</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58291A0F" w14:textId="7D12C878" w:rsidR="008806CA" w:rsidRPr="004A477C" w:rsidRDefault="008806CA" w:rsidP="008806CA">
            <w:pPr>
              <w:widowControl w:val="0"/>
              <w:spacing w:line="240" w:lineRule="auto"/>
              <w:jc w:val="right"/>
              <w:rPr>
                <w:sz w:val="18"/>
                <w:szCs w:val="18"/>
              </w:rPr>
            </w:pPr>
            <w:r w:rsidRPr="004A477C">
              <w:rPr>
                <w:sz w:val="18"/>
                <w:szCs w:val="18"/>
              </w:rPr>
              <w:t>0.0</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3BD98FA2" w14:textId="54E53F95" w:rsidR="008806CA" w:rsidRPr="004A477C" w:rsidRDefault="008806CA" w:rsidP="008806CA">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2468200E" w14:textId="1C0E3EE4" w:rsidR="008806CA" w:rsidRPr="004A477C" w:rsidRDefault="008806CA" w:rsidP="008806CA">
            <w:pPr>
              <w:widowControl w:val="0"/>
              <w:spacing w:line="240" w:lineRule="auto"/>
              <w:jc w:val="right"/>
              <w:rPr>
                <w:sz w:val="18"/>
                <w:szCs w:val="18"/>
              </w:rPr>
            </w:pPr>
            <w:r w:rsidRPr="004A477C">
              <w:rPr>
                <w:sz w:val="18"/>
                <w:szCs w:val="18"/>
              </w:rPr>
              <w:t>--</w:t>
            </w:r>
          </w:p>
        </w:tc>
      </w:tr>
      <w:tr w:rsidR="008806CA" w:rsidRPr="004A477C" w14:paraId="0DE6A6E4" w14:textId="77777777" w:rsidTr="008806CA">
        <w:trPr>
          <w:trHeight w:val="144"/>
        </w:trPr>
        <w:tc>
          <w:tcPr>
            <w:tcW w:w="4655" w:type="dxa"/>
            <w:shd w:val="clear" w:color="auto" w:fill="auto"/>
            <w:tcMar>
              <w:top w:w="0" w:type="dxa"/>
              <w:left w:w="0" w:type="dxa"/>
              <w:bottom w:w="0" w:type="dxa"/>
              <w:right w:w="0" w:type="dxa"/>
            </w:tcMar>
            <w:vAlign w:val="center"/>
          </w:tcPr>
          <w:p w14:paraId="7B86EFCD" w14:textId="4123E6AD" w:rsidR="008806CA" w:rsidRPr="004A477C" w:rsidRDefault="008806CA" w:rsidP="008806CA">
            <w:pPr>
              <w:widowControl w:val="0"/>
              <w:spacing w:line="240" w:lineRule="auto"/>
              <w:rPr>
                <w:sz w:val="18"/>
                <w:szCs w:val="18"/>
              </w:rPr>
            </w:pPr>
            <w:r w:rsidRPr="004A477C">
              <w:rPr>
                <w:sz w:val="18"/>
                <w:szCs w:val="18"/>
              </w:rPr>
              <w:t>Denial of Access to Unit Other</w:t>
            </w:r>
          </w:p>
        </w:tc>
        <w:tc>
          <w:tcPr>
            <w:tcW w:w="1350" w:type="dxa"/>
            <w:tcBorders>
              <w:right w:val="single" w:sz="4" w:space="0" w:color="808080" w:themeColor="background1" w:themeShade="80"/>
            </w:tcBorders>
            <w:vAlign w:val="center"/>
          </w:tcPr>
          <w:p w14:paraId="65A1CE9C" w14:textId="0CB8E2A9" w:rsidR="008806CA" w:rsidRPr="004A477C" w:rsidRDefault="008806CA" w:rsidP="008806CA">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02AA9785" w14:textId="22099B91" w:rsidR="008806CA" w:rsidRPr="004A477C" w:rsidRDefault="008806CA" w:rsidP="008806CA">
            <w:pPr>
              <w:widowControl w:val="0"/>
              <w:spacing w:line="240" w:lineRule="auto"/>
              <w:jc w:val="right"/>
              <w:rPr>
                <w:sz w:val="18"/>
                <w:szCs w:val="18"/>
              </w:rPr>
            </w:pPr>
            <w:r w:rsidRPr="004A477C">
              <w:rPr>
                <w:sz w:val="18"/>
                <w:szCs w:val="18"/>
              </w:rPr>
              <w:t>2</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65836929" w14:textId="61FCC10C" w:rsidR="008806CA" w:rsidRPr="004A477C" w:rsidRDefault="008806CA" w:rsidP="008806CA">
            <w:pPr>
              <w:widowControl w:val="0"/>
              <w:spacing w:line="240" w:lineRule="auto"/>
              <w:jc w:val="right"/>
              <w:rPr>
                <w:sz w:val="18"/>
                <w:szCs w:val="18"/>
              </w:rPr>
            </w:pPr>
            <w:r w:rsidRPr="004A477C">
              <w:rPr>
                <w:sz w:val="18"/>
                <w:szCs w:val="18"/>
              </w:rPr>
              <w:t>0.0</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7D662B4D" w14:textId="2659FD6C" w:rsidR="008806CA" w:rsidRPr="004A477C" w:rsidRDefault="008806CA" w:rsidP="008806CA">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53981EE9" w14:textId="12B61C56" w:rsidR="008806CA" w:rsidRPr="004A477C" w:rsidRDefault="008806CA" w:rsidP="008806CA">
            <w:pPr>
              <w:widowControl w:val="0"/>
              <w:spacing w:line="240" w:lineRule="auto"/>
              <w:jc w:val="right"/>
              <w:rPr>
                <w:sz w:val="18"/>
                <w:szCs w:val="18"/>
              </w:rPr>
            </w:pPr>
            <w:r w:rsidRPr="004A477C">
              <w:rPr>
                <w:sz w:val="18"/>
                <w:szCs w:val="18"/>
              </w:rPr>
              <w:t>--</w:t>
            </w:r>
          </w:p>
        </w:tc>
      </w:tr>
      <w:tr w:rsidR="008806CA" w:rsidRPr="004A477C" w14:paraId="406666F1" w14:textId="77777777" w:rsidTr="008806CA">
        <w:trPr>
          <w:trHeight w:val="144"/>
        </w:trPr>
        <w:tc>
          <w:tcPr>
            <w:tcW w:w="4655" w:type="dxa"/>
            <w:shd w:val="clear" w:color="auto" w:fill="auto"/>
            <w:tcMar>
              <w:top w:w="0" w:type="dxa"/>
              <w:left w:w="0" w:type="dxa"/>
              <w:bottom w:w="0" w:type="dxa"/>
              <w:right w:w="0" w:type="dxa"/>
            </w:tcMar>
            <w:vAlign w:val="center"/>
          </w:tcPr>
          <w:p w14:paraId="649D2EED" w14:textId="49DE01CE" w:rsidR="008806CA" w:rsidRPr="004A477C" w:rsidRDefault="008806CA" w:rsidP="008806CA">
            <w:pPr>
              <w:widowControl w:val="0"/>
              <w:spacing w:line="240" w:lineRule="auto"/>
              <w:rPr>
                <w:sz w:val="18"/>
                <w:szCs w:val="18"/>
              </w:rPr>
            </w:pPr>
            <w:r w:rsidRPr="004A477C">
              <w:rPr>
                <w:sz w:val="18"/>
                <w:szCs w:val="18"/>
              </w:rPr>
              <w:t>Non-payment of Rent Habitual Late Payment of Rent Nuisance</w:t>
            </w:r>
          </w:p>
        </w:tc>
        <w:tc>
          <w:tcPr>
            <w:tcW w:w="1350" w:type="dxa"/>
            <w:tcBorders>
              <w:right w:val="single" w:sz="4" w:space="0" w:color="808080" w:themeColor="background1" w:themeShade="80"/>
            </w:tcBorders>
            <w:vAlign w:val="center"/>
          </w:tcPr>
          <w:p w14:paraId="4BA73C05" w14:textId="2BDC29CA" w:rsidR="008806CA" w:rsidRPr="004A477C" w:rsidRDefault="008806CA" w:rsidP="008806CA">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7D1E197A" w14:textId="0B8014B6" w:rsidR="008806CA" w:rsidRPr="004A477C" w:rsidRDefault="008806CA" w:rsidP="008806CA">
            <w:pPr>
              <w:widowControl w:val="0"/>
              <w:spacing w:line="240" w:lineRule="auto"/>
              <w:jc w:val="right"/>
              <w:rPr>
                <w:sz w:val="18"/>
                <w:szCs w:val="18"/>
              </w:rPr>
            </w:pPr>
            <w:r w:rsidRPr="004A477C">
              <w:rPr>
                <w:sz w:val="18"/>
                <w:szCs w:val="18"/>
              </w:rPr>
              <w:t>1</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06C4664B" w14:textId="07025E95" w:rsidR="008806CA" w:rsidRPr="004A477C" w:rsidRDefault="008806CA" w:rsidP="008806CA">
            <w:pPr>
              <w:widowControl w:val="0"/>
              <w:spacing w:line="240" w:lineRule="auto"/>
              <w:jc w:val="right"/>
              <w:rPr>
                <w:sz w:val="18"/>
                <w:szCs w:val="18"/>
              </w:rPr>
            </w:pPr>
            <w:r w:rsidRPr="004A477C">
              <w:rPr>
                <w:sz w:val="18"/>
                <w:szCs w:val="18"/>
              </w:rPr>
              <w:t>0.0</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37950039" w14:textId="0C4BE36F" w:rsidR="008806CA" w:rsidRPr="004A477C" w:rsidRDefault="008806CA" w:rsidP="008806CA">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6A364E4A" w14:textId="58E30590" w:rsidR="008806CA" w:rsidRPr="004A477C" w:rsidRDefault="008806CA" w:rsidP="008806CA">
            <w:pPr>
              <w:widowControl w:val="0"/>
              <w:spacing w:line="240" w:lineRule="auto"/>
              <w:jc w:val="right"/>
              <w:rPr>
                <w:sz w:val="18"/>
                <w:szCs w:val="18"/>
              </w:rPr>
            </w:pPr>
            <w:r w:rsidRPr="004A477C">
              <w:rPr>
                <w:sz w:val="18"/>
                <w:szCs w:val="18"/>
              </w:rPr>
              <w:t>--</w:t>
            </w:r>
          </w:p>
        </w:tc>
      </w:tr>
      <w:tr w:rsidR="008806CA" w:rsidRPr="004A477C" w14:paraId="763E1062" w14:textId="77777777" w:rsidTr="008806CA">
        <w:trPr>
          <w:trHeight w:val="144"/>
        </w:trPr>
        <w:tc>
          <w:tcPr>
            <w:tcW w:w="4655" w:type="dxa"/>
            <w:shd w:val="clear" w:color="auto" w:fill="auto"/>
            <w:tcMar>
              <w:top w:w="0" w:type="dxa"/>
              <w:left w:w="0" w:type="dxa"/>
              <w:bottom w:w="0" w:type="dxa"/>
              <w:right w:w="0" w:type="dxa"/>
            </w:tcMar>
            <w:vAlign w:val="center"/>
          </w:tcPr>
          <w:p w14:paraId="33880145" w14:textId="325732A9" w:rsidR="008806CA" w:rsidRPr="004A477C" w:rsidRDefault="008806CA" w:rsidP="008806CA">
            <w:pPr>
              <w:widowControl w:val="0"/>
              <w:spacing w:line="240" w:lineRule="auto"/>
              <w:ind w:left="243" w:hanging="243"/>
              <w:rPr>
                <w:sz w:val="18"/>
                <w:szCs w:val="18"/>
              </w:rPr>
            </w:pPr>
            <w:r w:rsidRPr="004A477C">
              <w:rPr>
                <w:sz w:val="18"/>
                <w:szCs w:val="18"/>
              </w:rPr>
              <w:t>Non-payment of Rent Habitual Late Payment of Rent Breach of Lease Agreement Nuisance</w:t>
            </w:r>
          </w:p>
        </w:tc>
        <w:tc>
          <w:tcPr>
            <w:tcW w:w="1350" w:type="dxa"/>
            <w:tcBorders>
              <w:right w:val="single" w:sz="4" w:space="0" w:color="808080" w:themeColor="background1" w:themeShade="80"/>
            </w:tcBorders>
            <w:vAlign w:val="center"/>
          </w:tcPr>
          <w:p w14:paraId="153E7184" w14:textId="383BED4B" w:rsidR="008806CA" w:rsidRPr="004A477C" w:rsidRDefault="008806CA" w:rsidP="008806CA">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03A5861E" w14:textId="69B6649B" w:rsidR="008806CA" w:rsidRPr="004A477C" w:rsidRDefault="008806CA" w:rsidP="008806CA">
            <w:pPr>
              <w:widowControl w:val="0"/>
              <w:spacing w:line="240" w:lineRule="auto"/>
              <w:jc w:val="right"/>
              <w:rPr>
                <w:sz w:val="18"/>
                <w:szCs w:val="18"/>
              </w:rPr>
            </w:pPr>
            <w:r w:rsidRPr="004A477C">
              <w:rPr>
                <w:sz w:val="18"/>
                <w:szCs w:val="18"/>
              </w:rPr>
              <w:t>1</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0016DC68" w14:textId="0BE44D53" w:rsidR="008806CA" w:rsidRPr="004A477C" w:rsidRDefault="008806CA" w:rsidP="008806CA">
            <w:pPr>
              <w:widowControl w:val="0"/>
              <w:spacing w:line="240" w:lineRule="auto"/>
              <w:jc w:val="right"/>
              <w:rPr>
                <w:sz w:val="18"/>
                <w:szCs w:val="18"/>
              </w:rPr>
            </w:pPr>
            <w:r w:rsidRPr="004A477C">
              <w:rPr>
                <w:sz w:val="18"/>
                <w:szCs w:val="18"/>
              </w:rPr>
              <w:t>0.0</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08123B68" w14:textId="047DFF12" w:rsidR="008806CA" w:rsidRPr="004A477C" w:rsidRDefault="008806CA" w:rsidP="008806CA">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3E7DAC0C" w14:textId="047B6154" w:rsidR="008806CA" w:rsidRPr="004A477C" w:rsidRDefault="008806CA" w:rsidP="008806CA">
            <w:pPr>
              <w:widowControl w:val="0"/>
              <w:spacing w:line="240" w:lineRule="auto"/>
              <w:jc w:val="right"/>
              <w:rPr>
                <w:sz w:val="18"/>
                <w:szCs w:val="18"/>
              </w:rPr>
            </w:pPr>
            <w:r w:rsidRPr="004A477C">
              <w:rPr>
                <w:sz w:val="18"/>
                <w:szCs w:val="18"/>
              </w:rPr>
              <w:t>--</w:t>
            </w:r>
          </w:p>
        </w:tc>
      </w:tr>
      <w:tr w:rsidR="008806CA" w:rsidRPr="004A477C" w14:paraId="022EA126" w14:textId="77777777" w:rsidTr="008806CA">
        <w:trPr>
          <w:trHeight w:val="144"/>
        </w:trPr>
        <w:tc>
          <w:tcPr>
            <w:tcW w:w="4655" w:type="dxa"/>
            <w:shd w:val="clear" w:color="auto" w:fill="auto"/>
            <w:tcMar>
              <w:top w:w="0" w:type="dxa"/>
              <w:left w:w="0" w:type="dxa"/>
              <w:bottom w:w="0" w:type="dxa"/>
              <w:right w:w="0" w:type="dxa"/>
            </w:tcMar>
            <w:vAlign w:val="center"/>
          </w:tcPr>
          <w:p w14:paraId="460766ED" w14:textId="304CBD95" w:rsidR="008806CA" w:rsidRPr="004A477C" w:rsidRDefault="008806CA" w:rsidP="008806CA">
            <w:pPr>
              <w:widowControl w:val="0"/>
              <w:spacing w:line="240" w:lineRule="auto"/>
              <w:rPr>
                <w:sz w:val="18"/>
                <w:szCs w:val="18"/>
              </w:rPr>
            </w:pPr>
            <w:r w:rsidRPr="004A477C">
              <w:rPr>
                <w:sz w:val="18"/>
                <w:szCs w:val="18"/>
              </w:rPr>
              <w:t>Non-payment of Rent Denial of Access to Unit</w:t>
            </w:r>
          </w:p>
        </w:tc>
        <w:tc>
          <w:tcPr>
            <w:tcW w:w="1350" w:type="dxa"/>
            <w:tcBorders>
              <w:right w:val="single" w:sz="4" w:space="0" w:color="808080" w:themeColor="background1" w:themeShade="80"/>
            </w:tcBorders>
            <w:vAlign w:val="center"/>
          </w:tcPr>
          <w:p w14:paraId="6174150A" w14:textId="6E0B37F3" w:rsidR="008806CA" w:rsidRPr="004A477C" w:rsidRDefault="008806CA" w:rsidP="008806CA">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25047E85" w14:textId="17959B50" w:rsidR="008806CA" w:rsidRPr="004A477C" w:rsidRDefault="008806CA" w:rsidP="008806CA">
            <w:pPr>
              <w:widowControl w:val="0"/>
              <w:spacing w:line="240" w:lineRule="auto"/>
              <w:jc w:val="right"/>
              <w:rPr>
                <w:sz w:val="18"/>
                <w:szCs w:val="18"/>
              </w:rPr>
            </w:pPr>
            <w:r w:rsidRPr="004A477C">
              <w:rPr>
                <w:sz w:val="18"/>
                <w:szCs w:val="18"/>
              </w:rPr>
              <w:t>1</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387687CA" w14:textId="0B5592DF" w:rsidR="008806CA" w:rsidRPr="004A477C" w:rsidRDefault="008806CA" w:rsidP="008806CA">
            <w:pPr>
              <w:widowControl w:val="0"/>
              <w:spacing w:line="240" w:lineRule="auto"/>
              <w:jc w:val="right"/>
              <w:rPr>
                <w:sz w:val="18"/>
                <w:szCs w:val="18"/>
              </w:rPr>
            </w:pPr>
            <w:r w:rsidRPr="004A477C">
              <w:rPr>
                <w:sz w:val="18"/>
                <w:szCs w:val="18"/>
              </w:rPr>
              <w:t>0.0</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36441132" w14:textId="54FA8D52" w:rsidR="008806CA" w:rsidRPr="004A477C" w:rsidRDefault="008806CA" w:rsidP="008806CA">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6C548992" w14:textId="176F39F4" w:rsidR="008806CA" w:rsidRPr="004A477C" w:rsidRDefault="008806CA" w:rsidP="008806CA">
            <w:pPr>
              <w:widowControl w:val="0"/>
              <w:spacing w:line="240" w:lineRule="auto"/>
              <w:jc w:val="right"/>
              <w:rPr>
                <w:sz w:val="18"/>
                <w:szCs w:val="18"/>
              </w:rPr>
            </w:pPr>
            <w:r w:rsidRPr="004A477C">
              <w:rPr>
                <w:sz w:val="18"/>
                <w:szCs w:val="18"/>
              </w:rPr>
              <w:t>--</w:t>
            </w:r>
          </w:p>
        </w:tc>
      </w:tr>
      <w:tr w:rsidR="008806CA" w:rsidRPr="004A477C" w14:paraId="1B110AF5" w14:textId="77777777" w:rsidTr="008806CA">
        <w:trPr>
          <w:trHeight w:val="144"/>
        </w:trPr>
        <w:tc>
          <w:tcPr>
            <w:tcW w:w="4655" w:type="dxa"/>
            <w:shd w:val="clear" w:color="auto" w:fill="auto"/>
            <w:tcMar>
              <w:top w:w="0" w:type="dxa"/>
              <w:left w:w="0" w:type="dxa"/>
              <w:bottom w:w="0" w:type="dxa"/>
              <w:right w:w="0" w:type="dxa"/>
            </w:tcMar>
            <w:vAlign w:val="center"/>
          </w:tcPr>
          <w:p w14:paraId="51E8F310" w14:textId="55F38B85" w:rsidR="008806CA" w:rsidRPr="004A477C" w:rsidRDefault="008806CA" w:rsidP="008806CA">
            <w:pPr>
              <w:widowControl w:val="0"/>
              <w:spacing w:line="240" w:lineRule="auto"/>
              <w:rPr>
                <w:sz w:val="18"/>
                <w:szCs w:val="18"/>
              </w:rPr>
            </w:pPr>
            <w:r w:rsidRPr="004A477C">
              <w:rPr>
                <w:sz w:val="18"/>
                <w:szCs w:val="18"/>
              </w:rPr>
              <w:t>Non-payment of Rent Breach of Lease Agreement Nuisance</w:t>
            </w:r>
          </w:p>
        </w:tc>
        <w:tc>
          <w:tcPr>
            <w:tcW w:w="1350" w:type="dxa"/>
            <w:tcBorders>
              <w:right w:val="single" w:sz="4" w:space="0" w:color="808080" w:themeColor="background1" w:themeShade="80"/>
            </w:tcBorders>
            <w:vAlign w:val="center"/>
          </w:tcPr>
          <w:p w14:paraId="7877C8D8" w14:textId="3F6E6016" w:rsidR="008806CA" w:rsidRPr="004A477C" w:rsidRDefault="008806CA" w:rsidP="008806CA">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70C198DC" w14:textId="3D581DB0" w:rsidR="008806CA" w:rsidRPr="004A477C" w:rsidRDefault="008806CA" w:rsidP="008806CA">
            <w:pPr>
              <w:widowControl w:val="0"/>
              <w:spacing w:line="240" w:lineRule="auto"/>
              <w:jc w:val="right"/>
              <w:rPr>
                <w:sz w:val="18"/>
                <w:szCs w:val="18"/>
              </w:rPr>
            </w:pPr>
            <w:r w:rsidRPr="004A477C">
              <w:rPr>
                <w:sz w:val="18"/>
                <w:szCs w:val="18"/>
              </w:rPr>
              <w:t>1</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4E121DEB" w14:textId="653457D2" w:rsidR="008806CA" w:rsidRPr="004A477C" w:rsidRDefault="008806CA" w:rsidP="008806CA">
            <w:pPr>
              <w:widowControl w:val="0"/>
              <w:spacing w:line="240" w:lineRule="auto"/>
              <w:jc w:val="right"/>
              <w:rPr>
                <w:sz w:val="18"/>
                <w:szCs w:val="18"/>
              </w:rPr>
            </w:pPr>
            <w:r w:rsidRPr="004A477C">
              <w:rPr>
                <w:sz w:val="18"/>
                <w:szCs w:val="18"/>
              </w:rPr>
              <w:t>0.0</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28128CBA" w14:textId="15D82C8E" w:rsidR="008806CA" w:rsidRPr="004A477C" w:rsidRDefault="008806CA" w:rsidP="008806CA">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6AAD7291" w14:textId="150830AD" w:rsidR="008806CA" w:rsidRPr="004A477C" w:rsidRDefault="008806CA" w:rsidP="008806CA">
            <w:pPr>
              <w:widowControl w:val="0"/>
              <w:spacing w:line="240" w:lineRule="auto"/>
              <w:jc w:val="right"/>
              <w:rPr>
                <w:sz w:val="18"/>
                <w:szCs w:val="18"/>
              </w:rPr>
            </w:pPr>
            <w:r w:rsidRPr="004A477C">
              <w:rPr>
                <w:sz w:val="18"/>
                <w:szCs w:val="18"/>
              </w:rPr>
              <w:t>--</w:t>
            </w:r>
          </w:p>
        </w:tc>
      </w:tr>
      <w:tr w:rsidR="008806CA" w:rsidRPr="004A477C" w14:paraId="5C9C0CFA" w14:textId="77777777" w:rsidTr="008806CA">
        <w:trPr>
          <w:trHeight w:val="144"/>
        </w:trPr>
        <w:tc>
          <w:tcPr>
            <w:tcW w:w="4655" w:type="dxa"/>
            <w:shd w:val="clear" w:color="auto" w:fill="auto"/>
            <w:tcMar>
              <w:top w:w="0" w:type="dxa"/>
              <w:left w:w="0" w:type="dxa"/>
              <w:bottom w:w="0" w:type="dxa"/>
              <w:right w:w="0" w:type="dxa"/>
            </w:tcMar>
            <w:vAlign w:val="center"/>
          </w:tcPr>
          <w:p w14:paraId="77DE0A27" w14:textId="1587F1C1" w:rsidR="008806CA" w:rsidRPr="004A477C" w:rsidRDefault="008806CA" w:rsidP="008806CA">
            <w:pPr>
              <w:widowControl w:val="0"/>
              <w:spacing w:line="240" w:lineRule="auto"/>
              <w:ind w:left="243" w:hanging="243"/>
              <w:rPr>
                <w:sz w:val="18"/>
                <w:szCs w:val="18"/>
              </w:rPr>
            </w:pPr>
            <w:r w:rsidRPr="004A477C">
              <w:rPr>
                <w:sz w:val="18"/>
                <w:szCs w:val="18"/>
              </w:rPr>
              <w:t>Denial of Access to Unit Breach of Lease Agreement Nuisance Illegal Use of Unit</w:t>
            </w:r>
          </w:p>
        </w:tc>
        <w:tc>
          <w:tcPr>
            <w:tcW w:w="1350" w:type="dxa"/>
            <w:tcBorders>
              <w:right w:val="single" w:sz="4" w:space="0" w:color="808080" w:themeColor="background1" w:themeShade="80"/>
            </w:tcBorders>
            <w:vAlign w:val="center"/>
          </w:tcPr>
          <w:p w14:paraId="7069E756" w14:textId="0868FABF" w:rsidR="008806CA" w:rsidRPr="004A477C" w:rsidRDefault="008806CA" w:rsidP="008806CA">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1C38805E" w14:textId="2660F37E" w:rsidR="008806CA" w:rsidRPr="004A477C" w:rsidRDefault="008806CA" w:rsidP="008806CA">
            <w:pPr>
              <w:widowControl w:val="0"/>
              <w:spacing w:line="240" w:lineRule="auto"/>
              <w:jc w:val="right"/>
              <w:rPr>
                <w:sz w:val="18"/>
                <w:szCs w:val="18"/>
              </w:rPr>
            </w:pPr>
            <w:r w:rsidRPr="004A477C">
              <w:rPr>
                <w:sz w:val="18"/>
                <w:szCs w:val="18"/>
              </w:rPr>
              <w:t>3</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3EA155EA" w14:textId="37BB770C" w:rsidR="008806CA" w:rsidRPr="004A477C" w:rsidRDefault="008806CA" w:rsidP="008806CA">
            <w:pPr>
              <w:widowControl w:val="0"/>
              <w:spacing w:line="240" w:lineRule="auto"/>
              <w:jc w:val="right"/>
              <w:rPr>
                <w:sz w:val="18"/>
                <w:szCs w:val="18"/>
              </w:rPr>
            </w:pPr>
            <w:r w:rsidRPr="004A477C">
              <w:rPr>
                <w:sz w:val="18"/>
                <w:szCs w:val="18"/>
              </w:rPr>
              <w:t>0.0</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4E69BB96" w14:textId="0EB72BF6" w:rsidR="008806CA" w:rsidRPr="004A477C" w:rsidRDefault="008806CA" w:rsidP="008806CA">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494E5191" w14:textId="34F604F4" w:rsidR="008806CA" w:rsidRPr="004A477C" w:rsidRDefault="008806CA" w:rsidP="008806CA">
            <w:pPr>
              <w:widowControl w:val="0"/>
              <w:spacing w:line="240" w:lineRule="auto"/>
              <w:jc w:val="right"/>
              <w:rPr>
                <w:sz w:val="18"/>
                <w:szCs w:val="18"/>
              </w:rPr>
            </w:pPr>
            <w:r w:rsidRPr="004A477C">
              <w:rPr>
                <w:sz w:val="18"/>
                <w:szCs w:val="18"/>
              </w:rPr>
              <w:t>--</w:t>
            </w:r>
          </w:p>
        </w:tc>
      </w:tr>
      <w:tr w:rsidR="008806CA" w:rsidRPr="004A477C" w14:paraId="014545C6" w14:textId="77777777" w:rsidTr="008806CA">
        <w:trPr>
          <w:trHeight w:val="144"/>
        </w:trPr>
        <w:tc>
          <w:tcPr>
            <w:tcW w:w="4655" w:type="dxa"/>
            <w:shd w:val="clear" w:color="auto" w:fill="auto"/>
            <w:tcMar>
              <w:top w:w="0" w:type="dxa"/>
              <w:left w:w="0" w:type="dxa"/>
              <w:bottom w:w="0" w:type="dxa"/>
              <w:right w:w="0" w:type="dxa"/>
            </w:tcMar>
            <w:vAlign w:val="center"/>
          </w:tcPr>
          <w:p w14:paraId="69AAC2D6" w14:textId="010087FC" w:rsidR="008806CA" w:rsidRPr="004A477C" w:rsidRDefault="008806CA" w:rsidP="008806CA">
            <w:pPr>
              <w:widowControl w:val="0"/>
              <w:spacing w:line="240" w:lineRule="auto"/>
              <w:rPr>
                <w:sz w:val="18"/>
                <w:szCs w:val="18"/>
              </w:rPr>
            </w:pPr>
            <w:r w:rsidRPr="004A477C">
              <w:rPr>
                <w:sz w:val="18"/>
                <w:szCs w:val="18"/>
              </w:rPr>
              <w:t>Breach of Lease Agreement Failure to Sign Lease Renewal</w:t>
            </w:r>
          </w:p>
        </w:tc>
        <w:tc>
          <w:tcPr>
            <w:tcW w:w="1350" w:type="dxa"/>
            <w:tcBorders>
              <w:right w:val="single" w:sz="4" w:space="0" w:color="808080" w:themeColor="background1" w:themeShade="80"/>
            </w:tcBorders>
            <w:vAlign w:val="center"/>
          </w:tcPr>
          <w:p w14:paraId="1502F318" w14:textId="7786191D" w:rsidR="008806CA" w:rsidRPr="004A477C" w:rsidRDefault="008806CA" w:rsidP="008806CA">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57017AC9" w14:textId="29DCC1C9" w:rsidR="008806CA" w:rsidRPr="004A477C" w:rsidRDefault="008806CA" w:rsidP="008806CA">
            <w:pPr>
              <w:widowControl w:val="0"/>
              <w:spacing w:line="240" w:lineRule="auto"/>
              <w:jc w:val="right"/>
              <w:rPr>
                <w:sz w:val="18"/>
                <w:szCs w:val="18"/>
              </w:rPr>
            </w:pPr>
            <w:r w:rsidRPr="004A477C">
              <w:rPr>
                <w:sz w:val="18"/>
                <w:szCs w:val="18"/>
              </w:rPr>
              <w:t>3</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6ED05233" w14:textId="0C0B8964" w:rsidR="008806CA" w:rsidRPr="004A477C" w:rsidRDefault="008806CA" w:rsidP="008806CA">
            <w:pPr>
              <w:widowControl w:val="0"/>
              <w:spacing w:line="240" w:lineRule="auto"/>
              <w:jc w:val="right"/>
              <w:rPr>
                <w:sz w:val="18"/>
                <w:szCs w:val="18"/>
              </w:rPr>
            </w:pPr>
            <w:r w:rsidRPr="004A477C">
              <w:rPr>
                <w:sz w:val="18"/>
                <w:szCs w:val="18"/>
              </w:rPr>
              <w:t>0.0</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48EE5EEB" w14:textId="40F1CE4D" w:rsidR="008806CA" w:rsidRPr="004A477C" w:rsidRDefault="008806CA" w:rsidP="008806CA">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7BBC48E4" w14:textId="45B37D5B" w:rsidR="008806CA" w:rsidRPr="004A477C" w:rsidRDefault="008806CA" w:rsidP="008806CA">
            <w:pPr>
              <w:widowControl w:val="0"/>
              <w:spacing w:line="240" w:lineRule="auto"/>
              <w:jc w:val="right"/>
              <w:rPr>
                <w:sz w:val="18"/>
                <w:szCs w:val="18"/>
              </w:rPr>
            </w:pPr>
            <w:r w:rsidRPr="004A477C">
              <w:rPr>
                <w:sz w:val="18"/>
                <w:szCs w:val="18"/>
              </w:rPr>
              <w:t>--</w:t>
            </w:r>
          </w:p>
        </w:tc>
      </w:tr>
      <w:tr w:rsidR="008806CA" w:rsidRPr="004A477C" w14:paraId="12463D87" w14:textId="77777777" w:rsidTr="008806CA">
        <w:trPr>
          <w:trHeight w:val="144"/>
        </w:trPr>
        <w:tc>
          <w:tcPr>
            <w:tcW w:w="4655" w:type="dxa"/>
            <w:shd w:val="clear" w:color="auto" w:fill="auto"/>
            <w:tcMar>
              <w:top w:w="0" w:type="dxa"/>
              <w:left w:w="0" w:type="dxa"/>
              <w:bottom w:w="0" w:type="dxa"/>
              <w:right w:w="0" w:type="dxa"/>
            </w:tcMar>
            <w:vAlign w:val="center"/>
          </w:tcPr>
          <w:p w14:paraId="5992629E" w14:textId="63B9EB39" w:rsidR="008806CA" w:rsidRPr="004A477C" w:rsidRDefault="008806CA" w:rsidP="008806CA">
            <w:pPr>
              <w:widowControl w:val="0"/>
              <w:spacing w:line="240" w:lineRule="auto"/>
              <w:rPr>
                <w:sz w:val="18"/>
                <w:szCs w:val="18"/>
              </w:rPr>
            </w:pPr>
            <w:r w:rsidRPr="004A477C">
              <w:rPr>
                <w:sz w:val="18"/>
                <w:szCs w:val="18"/>
              </w:rPr>
              <w:t>Denial of Access to Unit Breach of Lease Agreement Other</w:t>
            </w:r>
          </w:p>
        </w:tc>
        <w:tc>
          <w:tcPr>
            <w:tcW w:w="1350" w:type="dxa"/>
            <w:tcBorders>
              <w:right w:val="single" w:sz="4" w:space="0" w:color="808080" w:themeColor="background1" w:themeShade="80"/>
            </w:tcBorders>
            <w:vAlign w:val="center"/>
          </w:tcPr>
          <w:p w14:paraId="57E83557" w14:textId="6E7E730E" w:rsidR="008806CA" w:rsidRPr="004A477C" w:rsidRDefault="008806CA" w:rsidP="008806CA">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5FDE2F40" w14:textId="2D34A69A" w:rsidR="008806CA" w:rsidRPr="004A477C" w:rsidRDefault="008806CA" w:rsidP="008806CA">
            <w:pPr>
              <w:widowControl w:val="0"/>
              <w:spacing w:line="240" w:lineRule="auto"/>
              <w:jc w:val="right"/>
              <w:rPr>
                <w:sz w:val="18"/>
                <w:szCs w:val="18"/>
              </w:rPr>
            </w:pPr>
            <w:r w:rsidRPr="004A477C">
              <w:rPr>
                <w:sz w:val="18"/>
                <w:szCs w:val="18"/>
              </w:rPr>
              <w:t>1</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69C7861C" w14:textId="165C0416" w:rsidR="008806CA" w:rsidRPr="004A477C" w:rsidRDefault="008806CA" w:rsidP="008806CA">
            <w:pPr>
              <w:widowControl w:val="0"/>
              <w:spacing w:line="240" w:lineRule="auto"/>
              <w:jc w:val="right"/>
              <w:rPr>
                <w:sz w:val="18"/>
                <w:szCs w:val="18"/>
              </w:rPr>
            </w:pPr>
            <w:r w:rsidRPr="004A477C">
              <w:rPr>
                <w:sz w:val="18"/>
                <w:szCs w:val="18"/>
              </w:rPr>
              <w:t>0.0</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2670D48A" w14:textId="481B5E5A" w:rsidR="008806CA" w:rsidRPr="004A477C" w:rsidRDefault="008806CA" w:rsidP="008806CA">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519668FB" w14:textId="5275CD21" w:rsidR="008806CA" w:rsidRPr="004A477C" w:rsidRDefault="008806CA" w:rsidP="008806CA">
            <w:pPr>
              <w:widowControl w:val="0"/>
              <w:spacing w:line="240" w:lineRule="auto"/>
              <w:jc w:val="right"/>
              <w:rPr>
                <w:sz w:val="18"/>
                <w:szCs w:val="18"/>
              </w:rPr>
            </w:pPr>
            <w:r w:rsidRPr="004A477C">
              <w:rPr>
                <w:sz w:val="18"/>
                <w:szCs w:val="18"/>
              </w:rPr>
              <w:t>--</w:t>
            </w:r>
          </w:p>
        </w:tc>
      </w:tr>
      <w:tr w:rsidR="008806CA" w:rsidRPr="004A477C" w14:paraId="70630CBD" w14:textId="77777777" w:rsidTr="008806CA">
        <w:trPr>
          <w:trHeight w:val="144"/>
        </w:trPr>
        <w:tc>
          <w:tcPr>
            <w:tcW w:w="4655" w:type="dxa"/>
            <w:shd w:val="clear" w:color="auto" w:fill="auto"/>
            <w:tcMar>
              <w:top w:w="0" w:type="dxa"/>
              <w:left w:w="0" w:type="dxa"/>
              <w:bottom w:w="0" w:type="dxa"/>
              <w:right w:w="0" w:type="dxa"/>
            </w:tcMar>
            <w:vAlign w:val="center"/>
          </w:tcPr>
          <w:p w14:paraId="2BB31D71" w14:textId="3D6B9866" w:rsidR="008806CA" w:rsidRPr="004A477C" w:rsidRDefault="008806CA" w:rsidP="008806CA">
            <w:pPr>
              <w:widowControl w:val="0"/>
              <w:spacing w:line="240" w:lineRule="auto"/>
              <w:rPr>
                <w:sz w:val="18"/>
                <w:szCs w:val="18"/>
              </w:rPr>
            </w:pPr>
            <w:r w:rsidRPr="004A477C">
              <w:rPr>
                <w:sz w:val="18"/>
                <w:szCs w:val="18"/>
              </w:rPr>
              <w:t>Habitual Late Payment of Rent Nuisance</w:t>
            </w:r>
          </w:p>
        </w:tc>
        <w:tc>
          <w:tcPr>
            <w:tcW w:w="1350" w:type="dxa"/>
            <w:tcBorders>
              <w:right w:val="single" w:sz="4" w:space="0" w:color="808080" w:themeColor="background1" w:themeShade="80"/>
            </w:tcBorders>
            <w:vAlign w:val="center"/>
          </w:tcPr>
          <w:p w14:paraId="4B9E5018" w14:textId="0410D44E" w:rsidR="008806CA" w:rsidRPr="004A477C" w:rsidRDefault="008806CA" w:rsidP="008806CA">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117D30C6" w14:textId="02532AD1" w:rsidR="008806CA" w:rsidRPr="004A477C" w:rsidRDefault="008806CA" w:rsidP="008806CA">
            <w:pPr>
              <w:widowControl w:val="0"/>
              <w:spacing w:line="240" w:lineRule="auto"/>
              <w:jc w:val="right"/>
              <w:rPr>
                <w:sz w:val="18"/>
                <w:szCs w:val="18"/>
              </w:rPr>
            </w:pPr>
            <w:r w:rsidRPr="004A477C">
              <w:rPr>
                <w:sz w:val="18"/>
                <w:szCs w:val="18"/>
              </w:rPr>
              <w:t>4</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0AC4E2AA" w14:textId="2756A930" w:rsidR="008806CA" w:rsidRPr="004A477C" w:rsidRDefault="008806CA" w:rsidP="008806CA">
            <w:pPr>
              <w:widowControl w:val="0"/>
              <w:spacing w:line="240" w:lineRule="auto"/>
              <w:jc w:val="right"/>
              <w:rPr>
                <w:sz w:val="18"/>
                <w:szCs w:val="18"/>
              </w:rPr>
            </w:pPr>
            <w:r w:rsidRPr="004A477C">
              <w:rPr>
                <w:sz w:val="18"/>
                <w:szCs w:val="18"/>
              </w:rPr>
              <w:t>0.0</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3E385937" w14:textId="5FDCA4F2" w:rsidR="008806CA" w:rsidRPr="004A477C" w:rsidRDefault="008806CA" w:rsidP="008806CA">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12C37B6F" w14:textId="4ED625CC" w:rsidR="008806CA" w:rsidRPr="004A477C" w:rsidRDefault="008806CA" w:rsidP="008806CA">
            <w:pPr>
              <w:widowControl w:val="0"/>
              <w:spacing w:line="240" w:lineRule="auto"/>
              <w:jc w:val="right"/>
              <w:rPr>
                <w:sz w:val="18"/>
                <w:szCs w:val="18"/>
              </w:rPr>
            </w:pPr>
            <w:r w:rsidRPr="004A477C">
              <w:rPr>
                <w:sz w:val="18"/>
                <w:szCs w:val="18"/>
              </w:rPr>
              <w:t>--</w:t>
            </w:r>
          </w:p>
        </w:tc>
      </w:tr>
      <w:tr w:rsidR="008806CA" w:rsidRPr="004A477C" w14:paraId="470A746B" w14:textId="77777777" w:rsidTr="008806CA">
        <w:trPr>
          <w:trHeight w:val="144"/>
        </w:trPr>
        <w:tc>
          <w:tcPr>
            <w:tcW w:w="4655" w:type="dxa"/>
            <w:shd w:val="clear" w:color="auto" w:fill="auto"/>
            <w:tcMar>
              <w:top w:w="0" w:type="dxa"/>
              <w:left w:w="0" w:type="dxa"/>
              <w:bottom w:w="0" w:type="dxa"/>
              <w:right w:w="0" w:type="dxa"/>
            </w:tcMar>
            <w:vAlign w:val="center"/>
          </w:tcPr>
          <w:p w14:paraId="22ECB070" w14:textId="07D4165D" w:rsidR="008806CA" w:rsidRPr="004A477C" w:rsidRDefault="008806CA" w:rsidP="008806CA">
            <w:pPr>
              <w:widowControl w:val="0"/>
              <w:spacing w:line="240" w:lineRule="auto"/>
              <w:ind w:left="243" w:hanging="243"/>
              <w:rPr>
                <w:sz w:val="18"/>
                <w:szCs w:val="18"/>
              </w:rPr>
            </w:pPr>
            <w:r w:rsidRPr="004A477C">
              <w:rPr>
                <w:sz w:val="18"/>
                <w:szCs w:val="18"/>
              </w:rPr>
              <w:t>Habitual Late Payment of Rent Breach of Lease Agreement Nuisance</w:t>
            </w:r>
          </w:p>
        </w:tc>
        <w:tc>
          <w:tcPr>
            <w:tcW w:w="1350" w:type="dxa"/>
            <w:tcBorders>
              <w:right w:val="single" w:sz="4" w:space="0" w:color="808080" w:themeColor="background1" w:themeShade="80"/>
            </w:tcBorders>
            <w:vAlign w:val="center"/>
          </w:tcPr>
          <w:p w14:paraId="5092BA10" w14:textId="14AD5D53" w:rsidR="008806CA" w:rsidRPr="004A477C" w:rsidRDefault="008806CA" w:rsidP="008806CA">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6D39833D" w14:textId="13737D18" w:rsidR="008806CA" w:rsidRPr="004A477C" w:rsidRDefault="008806CA" w:rsidP="008806CA">
            <w:pPr>
              <w:widowControl w:val="0"/>
              <w:spacing w:line="240" w:lineRule="auto"/>
              <w:jc w:val="right"/>
              <w:rPr>
                <w:sz w:val="18"/>
                <w:szCs w:val="18"/>
              </w:rPr>
            </w:pPr>
            <w:r w:rsidRPr="004A477C">
              <w:rPr>
                <w:sz w:val="18"/>
                <w:szCs w:val="18"/>
              </w:rPr>
              <w:t>6</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526CB119" w14:textId="5A4C813F" w:rsidR="008806CA" w:rsidRPr="004A477C" w:rsidRDefault="008806CA" w:rsidP="008806CA">
            <w:pPr>
              <w:widowControl w:val="0"/>
              <w:spacing w:line="240" w:lineRule="auto"/>
              <w:jc w:val="right"/>
              <w:rPr>
                <w:sz w:val="18"/>
                <w:szCs w:val="18"/>
              </w:rPr>
            </w:pPr>
            <w:r w:rsidRPr="004A477C">
              <w:rPr>
                <w:sz w:val="18"/>
                <w:szCs w:val="18"/>
              </w:rPr>
              <w:t>0.0</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2ED2E253" w14:textId="608EE79F" w:rsidR="008806CA" w:rsidRPr="004A477C" w:rsidRDefault="008806CA" w:rsidP="008806CA">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6B41669D" w14:textId="156CC064" w:rsidR="008806CA" w:rsidRPr="004A477C" w:rsidRDefault="008806CA" w:rsidP="008806CA">
            <w:pPr>
              <w:widowControl w:val="0"/>
              <w:spacing w:line="240" w:lineRule="auto"/>
              <w:jc w:val="right"/>
              <w:rPr>
                <w:sz w:val="18"/>
                <w:szCs w:val="18"/>
              </w:rPr>
            </w:pPr>
            <w:r w:rsidRPr="004A477C">
              <w:rPr>
                <w:sz w:val="18"/>
                <w:szCs w:val="18"/>
              </w:rPr>
              <w:t>--</w:t>
            </w:r>
          </w:p>
        </w:tc>
      </w:tr>
      <w:tr w:rsidR="008806CA" w:rsidRPr="004A477C" w14:paraId="0CB3AA76" w14:textId="77777777" w:rsidTr="008806CA">
        <w:trPr>
          <w:trHeight w:val="144"/>
        </w:trPr>
        <w:tc>
          <w:tcPr>
            <w:tcW w:w="4655" w:type="dxa"/>
            <w:shd w:val="clear" w:color="auto" w:fill="auto"/>
            <w:tcMar>
              <w:top w:w="0" w:type="dxa"/>
              <w:left w:w="0" w:type="dxa"/>
              <w:bottom w:w="0" w:type="dxa"/>
              <w:right w:w="0" w:type="dxa"/>
            </w:tcMar>
            <w:vAlign w:val="center"/>
          </w:tcPr>
          <w:p w14:paraId="77210F8C" w14:textId="706D546E" w:rsidR="008806CA" w:rsidRPr="004A477C" w:rsidRDefault="008806CA" w:rsidP="008806CA">
            <w:pPr>
              <w:widowControl w:val="0"/>
              <w:spacing w:line="240" w:lineRule="auto"/>
              <w:ind w:left="243" w:hanging="243"/>
              <w:rPr>
                <w:sz w:val="18"/>
                <w:szCs w:val="18"/>
              </w:rPr>
            </w:pPr>
            <w:r w:rsidRPr="004A477C">
              <w:rPr>
                <w:sz w:val="18"/>
                <w:szCs w:val="18"/>
              </w:rPr>
              <w:t>Habitual Late Payment of Rent Breach of Lease Agreement Failure to Sign Lease Renewal</w:t>
            </w:r>
          </w:p>
        </w:tc>
        <w:tc>
          <w:tcPr>
            <w:tcW w:w="1350" w:type="dxa"/>
            <w:tcBorders>
              <w:right w:val="single" w:sz="4" w:space="0" w:color="808080" w:themeColor="background1" w:themeShade="80"/>
            </w:tcBorders>
            <w:vAlign w:val="center"/>
          </w:tcPr>
          <w:p w14:paraId="12F99E07" w14:textId="59E1FA57" w:rsidR="008806CA" w:rsidRPr="004A477C" w:rsidRDefault="008806CA" w:rsidP="008806CA">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4A5E7687" w14:textId="27F8E86E" w:rsidR="008806CA" w:rsidRPr="004A477C" w:rsidRDefault="008806CA" w:rsidP="008806CA">
            <w:pPr>
              <w:widowControl w:val="0"/>
              <w:spacing w:line="240" w:lineRule="auto"/>
              <w:jc w:val="right"/>
              <w:rPr>
                <w:sz w:val="18"/>
                <w:szCs w:val="18"/>
              </w:rPr>
            </w:pPr>
            <w:r w:rsidRPr="004A477C">
              <w:rPr>
                <w:sz w:val="18"/>
                <w:szCs w:val="18"/>
              </w:rPr>
              <w:t>1</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24F5FEDF" w14:textId="2A694A8D" w:rsidR="008806CA" w:rsidRPr="004A477C" w:rsidRDefault="008806CA" w:rsidP="008806CA">
            <w:pPr>
              <w:widowControl w:val="0"/>
              <w:spacing w:line="240" w:lineRule="auto"/>
              <w:jc w:val="right"/>
              <w:rPr>
                <w:sz w:val="18"/>
                <w:szCs w:val="18"/>
              </w:rPr>
            </w:pPr>
            <w:r w:rsidRPr="004A477C">
              <w:rPr>
                <w:sz w:val="18"/>
                <w:szCs w:val="18"/>
              </w:rPr>
              <w:t>0.0</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0C3F8516" w14:textId="3FC5A2AF" w:rsidR="008806CA" w:rsidRPr="004A477C" w:rsidRDefault="008806CA" w:rsidP="008806CA">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7BE148D2" w14:textId="1CD5B978" w:rsidR="008806CA" w:rsidRPr="004A477C" w:rsidRDefault="008806CA" w:rsidP="008806CA">
            <w:pPr>
              <w:widowControl w:val="0"/>
              <w:spacing w:line="240" w:lineRule="auto"/>
              <w:jc w:val="right"/>
              <w:rPr>
                <w:sz w:val="18"/>
                <w:szCs w:val="18"/>
              </w:rPr>
            </w:pPr>
            <w:r w:rsidRPr="004A477C">
              <w:rPr>
                <w:sz w:val="18"/>
                <w:szCs w:val="18"/>
              </w:rPr>
              <w:t>--</w:t>
            </w:r>
          </w:p>
        </w:tc>
      </w:tr>
      <w:tr w:rsidR="008806CA" w:rsidRPr="004A477C" w14:paraId="054852FD" w14:textId="77777777" w:rsidTr="008806CA">
        <w:trPr>
          <w:trHeight w:val="144"/>
        </w:trPr>
        <w:tc>
          <w:tcPr>
            <w:tcW w:w="4655" w:type="dxa"/>
            <w:shd w:val="clear" w:color="auto" w:fill="auto"/>
            <w:tcMar>
              <w:top w:w="0" w:type="dxa"/>
              <w:left w:w="0" w:type="dxa"/>
              <w:bottom w:w="0" w:type="dxa"/>
              <w:right w:w="0" w:type="dxa"/>
            </w:tcMar>
            <w:vAlign w:val="center"/>
          </w:tcPr>
          <w:p w14:paraId="639F223E" w14:textId="78AEEB68" w:rsidR="008806CA" w:rsidRPr="004A477C" w:rsidRDefault="008806CA" w:rsidP="008806CA">
            <w:pPr>
              <w:widowControl w:val="0"/>
              <w:spacing w:line="240" w:lineRule="auto"/>
              <w:rPr>
                <w:sz w:val="18"/>
                <w:szCs w:val="18"/>
              </w:rPr>
            </w:pPr>
            <w:r w:rsidRPr="004A477C">
              <w:rPr>
                <w:sz w:val="18"/>
                <w:szCs w:val="18"/>
              </w:rPr>
              <w:t>Denial of Access to Unit Nuisance</w:t>
            </w:r>
          </w:p>
        </w:tc>
        <w:tc>
          <w:tcPr>
            <w:tcW w:w="1350" w:type="dxa"/>
            <w:tcBorders>
              <w:right w:val="single" w:sz="4" w:space="0" w:color="808080" w:themeColor="background1" w:themeShade="80"/>
            </w:tcBorders>
            <w:vAlign w:val="center"/>
          </w:tcPr>
          <w:p w14:paraId="0D180982" w14:textId="74D215EE" w:rsidR="008806CA" w:rsidRPr="004A477C" w:rsidRDefault="008806CA" w:rsidP="008806CA">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6AF19942" w14:textId="0D3032C3" w:rsidR="008806CA" w:rsidRPr="004A477C" w:rsidRDefault="008806CA" w:rsidP="008806CA">
            <w:pPr>
              <w:widowControl w:val="0"/>
              <w:spacing w:line="240" w:lineRule="auto"/>
              <w:jc w:val="right"/>
              <w:rPr>
                <w:sz w:val="18"/>
                <w:szCs w:val="18"/>
              </w:rPr>
            </w:pPr>
            <w:r w:rsidRPr="004A477C">
              <w:rPr>
                <w:sz w:val="18"/>
                <w:szCs w:val="18"/>
              </w:rPr>
              <w:t>2</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51917907" w14:textId="254C3169" w:rsidR="008806CA" w:rsidRPr="004A477C" w:rsidRDefault="008806CA" w:rsidP="008806CA">
            <w:pPr>
              <w:widowControl w:val="0"/>
              <w:spacing w:line="240" w:lineRule="auto"/>
              <w:jc w:val="right"/>
              <w:rPr>
                <w:sz w:val="18"/>
                <w:szCs w:val="18"/>
              </w:rPr>
            </w:pPr>
            <w:r w:rsidRPr="004A477C">
              <w:rPr>
                <w:sz w:val="18"/>
                <w:szCs w:val="18"/>
              </w:rPr>
              <w:t>0.0</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54DCEBB7" w14:textId="450C5045" w:rsidR="008806CA" w:rsidRPr="004A477C" w:rsidRDefault="008806CA" w:rsidP="008806CA">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3A4BB415" w14:textId="61995466" w:rsidR="008806CA" w:rsidRPr="004A477C" w:rsidRDefault="008806CA" w:rsidP="008806CA">
            <w:pPr>
              <w:widowControl w:val="0"/>
              <w:spacing w:line="240" w:lineRule="auto"/>
              <w:jc w:val="right"/>
              <w:rPr>
                <w:sz w:val="18"/>
                <w:szCs w:val="18"/>
              </w:rPr>
            </w:pPr>
            <w:r w:rsidRPr="004A477C">
              <w:rPr>
                <w:sz w:val="18"/>
                <w:szCs w:val="18"/>
              </w:rPr>
              <w:t>--</w:t>
            </w:r>
          </w:p>
        </w:tc>
      </w:tr>
      <w:tr w:rsidR="008806CA" w:rsidRPr="004A477C" w14:paraId="08391CFD" w14:textId="77777777" w:rsidTr="008806CA">
        <w:trPr>
          <w:trHeight w:val="144"/>
        </w:trPr>
        <w:tc>
          <w:tcPr>
            <w:tcW w:w="4655" w:type="dxa"/>
            <w:shd w:val="clear" w:color="auto" w:fill="auto"/>
            <w:tcMar>
              <w:top w:w="0" w:type="dxa"/>
              <w:left w:w="0" w:type="dxa"/>
              <w:bottom w:w="0" w:type="dxa"/>
              <w:right w:w="0" w:type="dxa"/>
            </w:tcMar>
            <w:vAlign w:val="center"/>
          </w:tcPr>
          <w:p w14:paraId="42A460B8" w14:textId="25DF8291" w:rsidR="008806CA" w:rsidRPr="004A477C" w:rsidRDefault="008806CA" w:rsidP="008806CA">
            <w:pPr>
              <w:widowControl w:val="0"/>
              <w:spacing w:line="240" w:lineRule="auto"/>
              <w:rPr>
                <w:sz w:val="18"/>
                <w:szCs w:val="18"/>
              </w:rPr>
            </w:pPr>
            <w:r w:rsidRPr="004A477C">
              <w:rPr>
                <w:sz w:val="18"/>
                <w:szCs w:val="18"/>
              </w:rPr>
              <w:t>Good Samaritan Tenancy Ends</w:t>
            </w:r>
          </w:p>
        </w:tc>
        <w:tc>
          <w:tcPr>
            <w:tcW w:w="1350" w:type="dxa"/>
            <w:tcBorders>
              <w:right w:val="single" w:sz="4" w:space="0" w:color="808080" w:themeColor="background1" w:themeShade="80"/>
            </w:tcBorders>
            <w:vAlign w:val="center"/>
          </w:tcPr>
          <w:p w14:paraId="789E242A" w14:textId="607DEFAF" w:rsidR="008806CA" w:rsidRPr="004A477C" w:rsidRDefault="008806CA" w:rsidP="008806CA">
            <w:pPr>
              <w:widowControl w:val="0"/>
              <w:spacing w:line="240" w:lineRule="auto"/>
              <w:jc w:val="center"/>
              <w:rPr>
                <w:sz w:val="18"/>
                <w:szCs w:val="18"/>
              </w:rPr>
            </w:pPr>
            <w:r>
              <w:rPr>
                <w:sz w:val="18"/>
                <w:szCs w:val="18"/>
              </w:rPr>
              <w:t>No fault</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371F3E26" w14:textId="6E316936" w:rsidR="008806CA" w:rsidRPr="004A477C" w:rsidRDefault="008806CA" w:rsidP="008806CA">
            <w:pPr>
              <w:widowControl w:val="0"/>
              <w:spacing w:line="240" w:lineRule="auto"/>
              <w:jc w:val="right"/>
              <w:rPr>
                <w:sz w:val="18"/>
                <w:szCs w:val="18"/>
              </w:rPr>
            </w:pPr>
            <w:r w:rsidRPr="004A477C">
              <w:rPr>
                <w:sz w:val="18"/>
                <w:szCs w:val="18"/>
              </w:rPr>
              <w:t>2</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44A00056" w14:textId="7BE93383" w:rsidR="008806CA" w:rsidRPr="004A477C" w:rsidRDefault="008806CA" w:rsidP="008806CA">
            <w:pPr>
              <w:widowControl w:val="0"/>
              <w:spacing w:line="240" w:lineRule="auto"/>
              <w:jc w:val="right"/>
              <w:rPr>
                <w:sz w:val="18"/>
                <w:szCs w:val="18"/>
              </w:rPr>
            </w:pPr>
            <w:r w:rsidRPr="004A477C">
              <w:rPr>
                <w:sz w:val="18"/>
                <w:szCs w:val="18"/>
              </w:rPr>
              <w:t>0.0</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4939B67D" w14:textId="4DBD5BBD" w:rsidR="008806CA" w:rsidRPr="004A477C" w:rsidRDefault="008806CA" w:rsidP="008806CA">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461AABAE" w14:textId="4E702694" w:rsidR="008806CA" w:rsidRPr="004A477C" w:rsidRDefault="008806CA" w:rsidP="008806CA">
            <w:pPr>
              <w:widowControl w:val="0"/>
              <w:spacing w:line="240" w:lineRule="auto"/>
              <w:jc w:val="right"/>
              <w:rPr>
                <w:sz w:val="18"/>
                <w:szCs w:val="18"/>
              </w:rPr>
            </w:pPr>
            <w:r w:rsidRPr="004A477C">
              <w:rPr>
                <w:sz w:val="18"/>
                <w:szCs w:val="18"/>
              </w:rPr>
              <w:t>--</w:t>
            </w:r>
          </w:p>
        </w:tc>
      </w:tr>
      <w:tr w:rsidR="008806CA" w:rsidRPr="004A477C" w14:paraId="1BFB769B" w14:textId="77777777" w:rsidTr="008806CA">
        <w:trPr>
          <w:trHeight w:val="144"/>
        </w:trPr>
        <w:tc>
          <w:tcPr>
            <w:tcW w:w="4655" w:type="dxa"/>
            <w:shd w:val="clear" w:color="auto" w:fill="auto"/>
            <w:tcMar>
              <w:top w:w="0" w:type="dxa"/>
              <w:left w:w="0" w:type="dxa"/>
              <w:bottom w:w="0" w:type="dxa"/>
              <w:right w:w="0" w:type="dxa"/>
            </w:tcMar>
            <w:vAlign w:val="center"/>
          </w:tcPr>
          <w:p w14:paraId="1219C32C" w14:textId="68819045" w:rsidR="008806CA" w:rsidRPr="004A477C" w:rsidRDefault="008806CA" w:rsidP="008806CA">
            <w:pPr>
              <w:widowControl w:val="0"/>
              <w:spacing w:line="240" w:lineRule="auto"/>
              <w:rPr>
                <w:sz w:val="18"/>
                <w:szCs w:val="18"/>
              </w:rPr>
            </w:pPr>
            <w:r w:rsidRPr="004A477C">
              <w:rPr>
                <w:sz w:val="18"/>
                <w:szCs w:val="18"/>
              </w:rPr>
              <w:t>Lead Remediation</w:t>
            </w:r>
          </w:p>
        </w:tc>
        <w:tc>
          <w:tcPr>
            <w:tcW w:w="1350" w:type="dxa"/>
            <w:tcBorders>
              <w:right w:val="single" w:sz="4" w:space="0" w:color="808080" w:themeColor="background1" w:themeShade="80"/>
            </w:tcBorders>
            <w:vAlign w:val="center"/>
          </w:tcPr>
          <w:p w14:paraId="1F2F018C" w14:textId="2DF257E5" w:rsidR="008806CA" w:rsidRPr="004A477C" w:rsidRDefault="008806CA" w:rsidP="008806CA">
            <w:pPr>
              <w:widowControl w:val="0"/>
              <w:spacing w:line="240" w:lineRule="auto"/>
              <w:jc w:val="center"/>
              <w:rPr>
                <w:sz w:val="18"/>
                <w:szCs w:val="18"/>
              </w:rPr>
            </w:pPr>
            <w:r>
              <w:rPr>
                <w:sz w:val="18"/>
                <w:szCs w:val="18"/>
              </w:rPr>
              <w:t>No fault</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01611760" w14:textId="65DE60A8" w:rsidR="008806CA" w:rsidRPr="004A477C" w:rsidRDefault="008806CA" w:rsidP="008806CA">
            <w:pPr>
              <w:widowControl w:val="0"/>
              <w:spacing w:line="240" w:lineRule="auto"/>
              <w:jc w:val="right"/>
              <w:rPr>
                <w:sz w:val="18"/>
                <w:szCs w:val="18"/>
              </w:rPr>
            </w:pPr>
            <w:r w:rsidRPr="004A477C">
              <w:rPr>
                <w:sz w:val="18"/>
                <w:szCs w:val="18"/>
              </w:rPr>
              <w:t>6</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04CA6DAF" w14:textId="0B3B8EBC" w:rsidR="008806CA" w:rsidRPr="004A477C" w:rsidRDefault="008806CA" w:rsidP="008806CA">
            <w:pPr>
              <w:widowControl w:val="0"/>
              <w:spacing w:line="240" w:lineRule="auto"/>
              <w:jc w:val="right"/>
              <w:rPr>
                <w:sz w:val="18"/>
                <w:szCs w:val="18"/>
              </w:rPr>
            </w:pPr>
            <w:r w:rsidRPr="004A477C">
              <w:rPr>
                <w:sz w:val="18"/>
                <w:szCs w:val="18"/>
              </w:rPr>
              <w:t>0.0</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64DE81B4" w14:textId="45D87D0D" w:rsidR="008806CA" w:rsidRPr="004A477C" w:rsidRDefault="008806CA" w:rsidP="008806CA">
            <w:pPr>
              <w:widowControl w:val="0"/>
              <w:spacing w:line="240" w:lineRule="auto"/>
              <w:jc w:val="right"/>
              <w:rPr>
                <w:sz w:val="18"/>
                <w:szCs w:val="18"/>
              </w:rPr>
            </w:pPr>
            <w:r w:rsidRPr="004A477C">
              <w:rPr>
                <w:sz w:val="18"/>
                <w:szCs w:val="18"/>
              </w:rPr>
              <w:t>--</w:t>
            </w:r>
          </w:p>
        </w:tc>
        <w:tc>
          <w:tcPr>
            <w:tcW w:w="837" w:type="dxa"/>
            <w:shd w:val="clear" w:color="auto" w:fill="auto"/>
            <w:tcMar>
              <w:top w:w="0" w:type="dxa"/>
              <w:left w:w="0" w:type="dxa"/>
              <w:bottom w:w="0" w:type="dxa"/>
              <w:right w:w="0" w:type="dxa"/>
            </w:tcMar>
            <w:vAlign w:val="center"/>
          </w:tcPr>
          <w:p w14:paraId="4722C564" w14:textId="0E52FAE7" w:rsidR="008806CA" w:rsidRPr="004A477C" w:rsidRDefault="008806CA" w:rsidP="008806CA">
            <w:pPr>
              <w:widowControl w:val="0"/>
              <w:spacing w:line="240" w:lineRule="auto"/>
              <w:jc w:val="right"/>
              <w:rPr>
                <w:sz w:val="18"/>
                <w:szCs w:val="18"/>
              </w:rPr>
            </w:pPr>
            <w:r w:rsidRPr="004A477C">
              <w:rPr>
                <w:sz w:val="18"/>
                <w:szCs w:val="18"/>
              </w:rPr>
              <w:t>--</w:t>
            </w:r>
          </w:p>
        </w:tc>
      </w:tr>
      <w:tr w:rsidR="008806CA" w:rsidRPr="004A477C" w14:paraId="6FCC5EFD" w14:textId="77777777" w:rsidTr="008806CA">
        <w:trPr>
          <w:trHeight w:val="144"/>
        </w:trPr>
        <w:tc>
          <w:tcPr>
            <w:tcW w:w="4655" w:type="dxa"/>
            <w:shd w:val="clear" w:color="auto" w:fill="auto"/>
            <w:tcMar>
              <w:top w:w="0" w:type="dxa"/>
              <w:left w:w="0" w:type="dxa"/>
              <w:bottom w:w="0" w:type="dxa"/>
              <w:right w:w="0" w:type="dxa"/>
            </w:tcMar>
            <w:vAlign w:val="center"/>
          </w:tcPr>
          <w:p w14:paraId="1901D3A8" w14:textId="0C188831" w:rsidR="008806CA" w:rsidRPr="004A477C" w:rsidRDefault="008806CA" w:rsidP="008806CA">
            <w:pPr>
              <w:widowControl w:val="0"/>
              <w:spacing w:line="240" w:lineRule="auto"/>
              <w:rPr>
                <w:sz w:val="18"/>
                <w:szCs w:val="18"/>
              </w:rPr>
            </w:pPr>
            <w:r w:rsidRPr="004A477C">
              <w:rPr>
                <w:sz w:val="18"/>
                <w:szCs w:val="18"/>
              </w:rPr>
              <w:lastRenderedPageBreak/>
              <w:t>Habitual Late Payment of Rent Other</w:t>
            </w:r>
          </w:p>
        </w:tc>
        <w:tc>
          <w:tcPr>
            <w:tcW w:w="1350" w:type="dxa"/>
            <w:tcBorders>
              <w:right w:val="single" w:sz="4" w:space="0" w:color="808080" w:themeColor="background1" w:themeShade="80"/>
            </w:tcBorders>
            <w:vAlign w:val="center"/>
          </w:tcPr>
          <w:p w14:paraId="6766B60A" w14:textId="0B1F9774" w:rsidR="008806CA" w:rsidRPr="004A477C" w:rsidRDefault="008806CA" w:rsidP="008806CA">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7621821C" w14:textId="695B1CA4" w:rsidR="008806CA" w:rsidRPr="004A477C" w:rsidRDefault="008806CA" w:rsidP="008806CA">
            <w:pPr>
              <w:widowControl w:val="0"/>
              <w:spacing w:line="240" w:lineRule="auto"/>
              <w:jc w:val="right"/>
              <w:rPr>
                <w:sz w:val="18"/>
                <w:szCs w:val="18"/>
              </w:rPr>
            </w:pPr>
            <w:r w:rsidRPr="004A477C">
              <w:rPr>
                <w:sz w:val="18"/>
                <w:szCs w:val="18"/>
              </w:rPr>
              <w:t>--</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7E896135" w14:textId="5F77FC22" w:rsidR="008806CA" w:rsidRPr="004A477C" w:rsidRDefault="008806CA" w:rsidP="008806CA">
            <w:pPr>
              <w:widowControl w:val="0"/>
              <w:spacing w:line="240" w:lineRule="auto"/>
              <w:jc w:val="right"/>
              <w:rPr>
                <w:sz w:val="18"/>
                <w:szCs w:val="18"/>
              </w:rPr>
            </w:pPr>
            <w:r w:rsidRPr="004A477C">
              <w:rPr>
                <w:sz w:val="18"/>
                <w:szCs w:val="18"/>
              </w:rPr>
              <w:t>--</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776323F7" w14:textId="2C7D64AB" w:rsidR="008806CA" w:rsidRPr="004A477C" w:rsidRDefault="008806CA" w:rsidP="008806CA">
            <w:pPr>
              <w:widowControl w:val="0"/>
              <w:spacing w:line="240" w:lineRule="auto"/>
              <w:jc w:val="right"/>
              <w:rPr>
                <w:sz w:val="18"/>
                <w:szCs w:val="18"/>
              </w:rPr>
            </w:pPr>
            <w:r w:rsidRPr="004A477C">
              <w:rPr>
                <w:sz w:val="18"/>
                <w:szCs w:val="18"/>
              </w:rPr>
              <w:t>1</w:t>
            </w:r>
          </w:p>
        </w:tc>
        <w:tc>
          <w:tcPr>
            <w:tcW w:w="837" w:type="dxa"/>
            <w:shd w:val="clear" w:color="auto" w:fill="auto"/>
            <w:tcMar>
              <w:top w:w="0" w:type="dxa"/>
              <w:left w:w="0" w:type="dxa"/>
              <w:bottom w:w="0" w:type="dxa"/>
              <w:right w:w="0" w:type="dxa"/>
            </w:tcMar>
            <w:vAlign w:val="center"/>
          </w:tcPr>
          <w:p w14:paraId="3167A25C" w14:textId="4824ADAC" w:rsidR="008806CA" w:rsidRPr="004A477C" w:rsidRDefault="008806CA" w:rsidP="008806CA">
            <w:pPr>
              <w:widowControl w:val="0"/>
              <w:spacing w:line="240" w:lineRule="auto"/>
              <w:jc w:val="right"/>
              <w:rPr>
                <w:sz w:val="18"/>
                <w:szCs w:val="18"/>
              </w:rPr>
            </w:pPr>
            <w:r w:rsidRPr="004A477C">
              <w:rPr>
                <w:sz w:val="18"/>
                <w:szCs w:val="18"/>
              </w:rPr>
              <w:t>0.5</w:t>
            </w:r>
          </w:p>
        </w:tc>
      </w:tr>
      <w:tr w:rsidR="008806CA" w:rsidRPr="004A477C" w14:paraId="04E60400" w14:textId="77777777" w:rsidTr="008806CA">
        <w:trPr>
          <w:trHeight w:val="144"/>
        </w:trPr>
        <w:tc>
          <w:tcPr>
            <w:tcW w:w="4655" w:type="dxa"/>
            <w:shd w:val="clear" w:color="auto" w:fill="auto"/>
            <w:tcMar>
              <w:top w:w="0" w:type="dxa"/>
              <w:left w:w="0" w:type="dxa"/>
              <w:bottom w:w="0" w:type="dxa"/>
              <w:right w:w="0" w:type="dxa"/>
            </w:tcMar>
            <w:vAlign w:val="center"/>
          </w:tcPr>
          <w:p w14:paraId="0E64F943" w14:textId="00D34667" w:rsidR="008806CA" w:rsidRPr="004A477C" w:rsidRDefault="008806CA" w:rsidP="008806CA">
            <w:pPr>
              <w:widowControl w:val="0"/>
              <w:spacing w:line="240" w:lineRule="auto"/>
              <w:ind w:left="333" w:hanging="333"/>
              <w:rPr>
                <w:sz w:val="18"/>
                <w:szCs w:val="18"/>
              </w:rPr>
            </w:pPr>
            <w:r w:rsidRPr="004A477C">
              <w:rPr>
                <w:sz w:val="18"/>
                <w:szCs w:val="18"/>
              </w:rPr>
              <w:t>Habitual Late Payment of Rent Roommate Living in Same Unit Nuisance</w:t>
            </w:r>
          </w:p>
        </w:tc>
        <w:tc>
          <w:tcPr>
            <w:tcW w:w="1350" w:type="dxa"/>
            <w:tcBorders>
              <w:right w:val="single" w:sz="4" w:space="0" w:color="808080" w:themeColor="background1" w:themeShade="80"/>
            </w:tcBorders>
            <w:vAlign w:val="center"/>
          </w:tcPr>
          <w:p w14:paraId="5F8E031E" w14:textId="5601F436" w:rsidR="008806CA" w:rsidRPr="004A477C" w:rsidRDefault="008806CA" w:rsidP="008806CA">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52BB41CD" w14:textId="6A627E23" w:rsidR="008806CA" w:rsidRPr="004A477C" w:rsidRDefault="008806CA" w:rsidP="008806CA">
            <w:pPr>
              <w:widowControl w:val="0"/>
              <w:spacing w:line="240" w:lineRule="auto"/>
              <w:jc w:val="right"/>
              <w:rPr>
                <w:sz w:val="18"/>
                <w:szCs w:val="18"/>
              </w:rPr>
            </w:pPr>
            <w:r w:rsidRPr="004A477C">
              <w:rPr>
                <w:sz w:val="18"/>
                <w:szCs w:val="18"/>
              </w:rPr>
              <w:t>--</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74D833BB" w14:textId="0EDD3841" w:rsidR="008806CA" w:rsidRPr="004A477C" w:rsidRDefault="008806CA" w:rsidP="008806CA">
            <w:pPr>
              <w:widowControl w:val="0"/>
              <w:spacing w:line="240" w:lineRule="auto"/>
              <w:jc w:val="right"/>
              <w:rPr>
                <w:sz w:val="18"/>
                <w:szCs w:val="18"/>
              </w:rPr>
            </w:pPr>
            <w:r w:rsidRPr="004A477C">
              <w:rPr>
                <w:sz w:val="18"/>
                <w:szCs w:val="18"/>
              </w:rPr>
              <w:t>--</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25457A1B" w14:textId="0DC6E05E" w:rsidR="008806CA" w:rsidRPr="004A477C" w:rsidRDefault="008806CA" w:rsidP="008806CA">
            <w:pPr>
              <w:widowControl w:val="0"/>
              <w:spacing w:line="240" w:lineRule="auto"/>
              <w:jc w:val="right"/>
              <w:rPr>
                <w:sz w:val="18"/>
                <w:szCs w:val="18"/>
              </w:rPr>
            </w:pPr>
            <w:r w:rsidRPr="004A477C">
              <w:rPr>
                <w:sz w:val="18"/>
                <w:szCs w:val="18"/>
              </w:rPr>
              <w:t>1</w:t>
            </w:r>
          </w:p>
        </w:tc>
        <w:tc>
          <w:tcPr>
            <w:tcW w:w="837" w:type="dxa"/>
            <w:shd w:val="clear" w:color="auto" w:fill="auto"/>
            <w:tcMar>
              <w:top w:w="0" w:type="dxa"/>
              <w:left w:w="0" w:type="dxa"/>
              <w:bottom w:w="0" w:type="dxa"/>
              <w:right w:w="0" w:type="dxa"/>
            </w:tcMar>
            <w:vAlign w:val="center"/>
          </w:tcPr>
          <w:p w14:paraId="756A2A4F" w14:textId="31081EA3" w:rsidR="008806CA" w:rsidRPr="004A477C" w:rsidRDefault="008806CA" w:rsidP="008806CA">
            <w:pPr>
              <w:widowControl w:val="0"/>
              <w:spacing w:line="240" w:lineRule="auto"/>
              <w:jc w:val="right"/>
              <w:rPr>
                <w:sz w:val="18"/>
                <w:szCs w:val="18"/>
              </w:rPr>
            </w:pPr>
            <w:r w:rsidRPr="004A477C">
              <w:rPr>
                <w:sz w:val="18"/>
                <w:szCs w:val="18"/>
              </w:rPr>
              <w:t>0.5</w:t>
            </w:r>
          </w:p>
        </w:tc>
      </w:tr>
      <w:tr w:rsidR="008806CA" w:rsidRPr="004A477C" w14:paraId="69360578" w14:textId="77777777" w:rsidTr="008806CA">
        <w:trPr>
          <w:trHeight w:val="144"/>
        </w:trPr>
        <w:tc>
          <w:tcPr>
            <w:tcW w:w="4655" w:type="dxa"/>
            <w:shd w:val="clear" w:color="auto" w:fill="auto"/>
            <w:tcMar>
              <w:top w:w="0" w:type="dxa"/>
              <w:left w:w="0" w:type="dxa"/>
              <w:bottom w:w="0" w:type="dxa"/>
              <w:right w:w="0" w:type="dxa"/>
            </w:tcMar>
            <w:vAlign w:val="center"/>
          </w:tcPr>
          <w:p w14:paraId="07342BAD" w14:textId="5CAF8607" w:rsidR="008806CA" w:rsidRPr="004A477C" w:rsidRDefault="008806CA" w:rsidP="008806CA">
            <w:pPr>
              <w:widowControl w:val="0"/>
              <w:spacing w:line="240" w:lineRule="auto"/>
              <w:rPr>
                <w:sz w:val="18"/>
                <w:szCs w:val="18"/>
              </w:rPr>
            </w:pPr>
            <w:r w:rsidRPr="004A477C">
              <w:rPr>
                <w:sz w:val="18"/>
                <w:szCs w:val="18"/>
              </w:rPr>
              <w:t>Nuisance Other</w:t>
            </w:r>
          </w:p>
        </w:tc>
        <w:tc>
          <w:tcPr>
            <w:tcW w:w="1350" w:type="dxa"/>
            <w:tcBorders>
              <w:right w:val="single" w:sz="4" w:space="0" w:color="808080" w:themeColor="background1" w:themeShade="80"/>
            </w:tcBorders>
            <w:vAlign w:val="center"/>
          </w:tcPr>
          <w:p w14:paraId="21B2FB03" w14:textId="2402A8DD" w:rsidR="008806CA" w:rsidRPr="004A477C" w:rsidRDefault="008806CA" w:rsidP="008806CA">
            <w:pPr>
              <w:widowControl w:val="0"/>
              <w:spacing w:line="240" w:lineRule="auto"/>
              <w:jc w:val="center"/>
              <w:rPr>
                <w:sz w:val="18"/>
                <w:szCs w:val="18"/>
              </w:rPr>
            </w:pPr>
            <w:r>
              <w:rPr>
                <w:sz w:val="18"/>
                <w:szCs w:val="18"/>
              </w:rPr>
              <w:t>Breach of lease</w:t>
            </w:r>
          </w:p>
        </w:tc>
        <w:tc>
          <w:tcPr>
            <w:tcW w:w="705" w:type="dxa"/>
            <w:tcBorders>
              <w:left w:val="single" w:sz="4" w:space="0" w:color="808080" w:themeColor="background1" w:themeShade="80"/>
            </w:tcBorders>
            <w:shd w:val="clear" w:color="auto" w:fill="auto"/>
            <w:tcMar>
              <w:top w:w="0" w:type="dxa"/>
              <w:left w:w="0" w:type="dxa"/>
              <w:bottom w:w="0" w:type="dxa"/>
              <w:right w:w="0" w:type="dxa"/>
            </w:tcMar>
            <w:vAlign w:val="center"/>
          </w:tcPr>
          <w:p w14:paraId="777C3DBF" w14:textId="661A8025" w:rsidR="008806CA" w:rsidRPr="004A477C" w:rsidRDefault="008806CA" w:rsidP="008806CA">
            <w:pPr>
              <w:widowControl w:val="0"/>
              <w:spacing w:line="240" w:lineRule="auto"/>
              <w:jc w:val="right"/>
              <w:rPr>
                <w:sz w:val="18"/>
                <w:szCs w:val="18"/>
              </w:rPr>
            </w:pPr>
            <w:r w:rsidRPr="004A477C">
              <w:rPr>
                <w:sz w:val="18"/>
                <w:szCs w:val="18"/>
              </w:rPr>
              <w:t>--</w:t>
            </w:r>
          </w:p>
        </w:tc>
        <w:tc>
          <w:tcPr>
            <w:tcW w:w="735" w:type="dxa"/>
            <w:tcBorders>
              <w:right w:val="single" w:sz="4" w:space="0" w:color="808080" w:themeColor="background1" w:themeShade="80"/>
            </w:tcBorders>
            <w:shd w:val="clear" w:color="auto" w:fill="auto"/>
            <w:tcMar>
              <w:top w:w="0" w:type="dxa"/>
              <w:left w:w="0" w:type="dxa"/>
              <w:bottom w:w="0" w:type="dxa"/>
              <w:right w:w="0" w:type="dxa"/>
            </w:tcMar>
            <w:vAlign w:val="center"/>
          </w:tcPr>
          <w:p w14:paraId="7459C78A" w14:textId="3EE0B0C2" w:rsidR="008806CA" w:rsidRPr="004A477C" w:rsidRDefault="008806CA" w:rsidP="008806CA">
            <w:pPr>
              <w:widowControl w:val="0"/>
              <w:spacing w:line="240" w:lineRule="auto"/>
              <w:jc w:val="right"/>
              <w:rPr>
                <w:sz w:val="18"/>
                <w:szCs w:val="18"/>
              </w:rPr>
            </w:pPr>
            <w:r w:rsidRPr="004A477C">
              <w:rPr>
                <w:sz w:val="18"/>
                <w:szCs w:val="18"/>
              </w:rPr>
              <w:t>--</w:t>
            </w:r>
          </w:p>
        </w:tc>
        <w:tc>
          <w:tcPr>
            <w:tcW w:w="570" w:type="dxa"/>
            <w:tcBorders>
              <w:left w:val="single" w:sz="4" w:space="0" w:color="808080" w:themeColor="background1" w:themeShade="80"/>
            </w:tcBorders>
            <w:shd w:val="clear" w:color="auto" w:fill="auto"/>
            <w:tcMar>
              <w:top w:w="0" w:type="dxa"/>
              <w:left w:w="0" w:type="dxa"/>
              <w:bottom w:w="0" w:type="dxa"/>
              <w:right w:w="0" w:type="dxa"/>
            </w:tcMar>
            <w:vAlign w:val="center"/>
          </w:tcPr>
          <w:p w14:paraId="3348DC6A" w14:textId="441D30EF" w:rsidR="008806CA" w:rsidRPr="004A477C" w:rsidRDefault="008806CA" w:rsidP="008806CA">
            <w:pPr>
              <w:widowControl w:val="0"/>
              <w:spacing w:line="240" w:lineRule="auto"/>
              <w:jc w:val="right"/>
              <w:rPr>
                <w:sz w:val="18"/>
                <w:szCs w:val="18"/>
              </w:rPr>
            </w:pPr>
            <w:r w:rsidRPr="004A477C">
              <w:rPr>
                <w:sz w:val="18"/>
                <w:szCs w:val="18"/>
              </w:rPr>
              <w:t>1</w:t>
            </w:r>
          </w:p>
        </w:tc>
        <w:tc>
          <w:tcPr>
            <w:tcW w:w="837" w:type="dxa"/>
            <w:shd w:val="clear" w:color="auto" w:fill="auto"/>
            <w:tcMar>
              <w:top w:w="0" w:type="dxa"/>
              <w:left w:w="0" w:type="dxa"/>
              <w:bottom w:w="0" w:type="dxa"/>
              <w:right w:w="0" w:type="dxa"/>
            </w:tcMar>
            <w:vAlign w:val="center"/>
          </w:tcPr>
          <w:p w14:paraId="0D3C9BEA" w14:textId="09E3FA88" w:rsidR="008806CA" w:rsidRPr="004A477C" w:rsidRDefault="008806CA" w:rsidP="008806CA">
            <w:pPr>
              <w:widowControl w:val="0"/>
              <w:spacing w:line="240" w:lineRule="auto"/>
              <w:jc w:val="right"/>
              <w:rPr>
                <w:sz w:val="18"/>
                <w:szCs w:val="18"/>
              </w:rPr>
            </w:pPr>
            <w:r w:rsidRPr="004A477C">
              <w:rPr>
                <w:sz w:val="18"/>
                <w:szCs w:val="18"/>
              </w:rPr>
              <w:t>0.5</w:t>
            </w:r>
          </w:p>
        </w:tc>
      </w:tr>
    </w:tbl>
    <w:p w14:paraId="413056B0" w14:textId="77777777" w:rsidR="00FB4A97" w:rsidRDefault="00FB4A97" w:rsidP="0021102C">
      <w:pPr>
        <w:pStyle w:val="Newparagraph"/>
        <w:ind w:firstLine="0"/>
      </w:pPr>
    </w:p>
    <w:p w14:paraId="767A735A" w14:textId="77777777" w:rsidR="00FB4A97" w:rsidRDefault="00FB4A97" w:rsidP="00302396">
      <w:pPr>
        <w:pStyle w:val="Newparagraph"/>
      </w:pPr>
    </w:p>
    <w:p w14:paraId="52A84698" w14:textId="77777777" w:rsidR="00FB4A97" w:rsidRDefault="00FB4A97" w:rsidP="00302396">
      <w:pPr>
        <w:pStyle w:val="Newparagraph"/>
      </w:pPr>
    </w:p>
    <w:p w14:paraId="1CA91BA6" w14:textId="77777777" w:rsidR="00FB4A97" w:rsidRDefault="00FB4A97" w:rsidP="00302396">
      <w:pPr>
        <w:pStyle w:val="Newparagraph"/>
      </w:pPr>
    </w:p>
    <w:p w14:paraId="1E966E66" w14:textId="77777777" w:rsidR="00FB4A97" w:rsidRDefault="00FB4A97" w:rsidP="00302396">
      <w:pPr>
        <w:pStyle w:val="Newparagraph"/>
      </w:pPr>
    </w:p>
    <w:p w14:paraId="0C15F049" w14:textId="77777777" w:rsidR="00FB4A97" w:rsidRDefault="00FB4A97" w:rsidP="00302396">
      <w:pPr>
        <w:pStyle w:val="Newparagraph"/>
      </w:pPr>
    </w:p>
    <w:p w14:paraId="40AFE0F5" w14:textId="77777777" w:rsidR="00FB4A97" w:rsidRDefault="00FB4A97" w:rsidP="00302396">
      <w:pPr>
        <w:pStyle w:val="Newparagraph"/>
      </w:pPr>
    </w:p>
    <w:p w14:paraId="3655F8F0" w14:textId="77777777" w:rsidR="00FB4A97" w:rsidRDefault="00FB4A97" w:rsidP="00302396">
      <w:pPr>
        <w:pStyle w:val="Newparagraph"/>
      </w:pPr>
    </w:p>
    <w:p w14:paraId="1B3BD22D" w14:textId="77777777" w:rsidR="00FB4A97" w:rsidRDefault="00FB4A97" w:rsidP="00302396">
      <w:pPr>
        <w:pStyle w:val="Newparagraph"/>
      </w:pPr>
    </w:p>
    <w:p w14:paraId="60FACAA8" w14:textId="77777777" w:rsidR="00FB4A97" w:rsidRDefault="00FB4A97" w:rsidP="00302396">
      <w:pPr>
        <w:pStyle w:val="Newparagraph"/>
      </w:pPr>
    </w:p>
    <w:p w14:paraId="103D85B9" w14:textId="77777777" w:rsidR="00FB4A97" w:rsidRDefault="00FB4A97" w:rsidP="00302396">
      <w:pPr>
        <w:pStyle w:val="Newparagraph"/>
      </w:pPr>
    </w:p>
    <w:p w14:paraId="233FB2E5" w14:textId="77777777" w:rsidR="00FB4A97" w:rsidRDefault="00FB4A97" w:rsidP="00302396">
      <w:pPr>
        <w:pStyle w:val="Newparagraph"/>
      </w:pPr>
    </w:p>
    <w:p w14:paraId="5DBEC6DE" w14:textId="20FC65B7" w:rsidR="008406AA" w:rsidRDefault="008406AA" w:rsidP="000C73AA">
      <w:pPr>
        <w:pStyle w:val="Newparagraph"/>
        <w:ind w:firstLine="0"/>
      </w:pPr>
      <w:bookmarkStart w:id="0" w:name="_GoBack"/>
      <w:bookmarkEnd w:id="0"/>
    </w:p>
    <w:sectPr w:rsidR="008406AA" w:rsidSect="00165A21">
      <w:pgSz w:w="11901" w:h="16840"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0ED395" w14:textId="77777777" w:rsidR="00CA0BFF" w:rsidRDefault="00CA0BFF" w:rsidP="00AF2C92">
      <w:r>
        <w:separator/>
      </w:r>
    </w:p>
  </w:endnote>
  <w:endnote w:type="continuationSeparator" w:id="0">
    <w:p w14:paraId="2818420A" w14:textId="77777777" w:rsidR="00CA0BFF" w:rsidRDefault="00CA0BFF" w:rsidP="00AF2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127BA2" w14:textId="77777777" w:rsidR="00CA0BFF" w:rsidRDefault="00CA0BFF" w:rsidP="00AF2C92">
      <w:r>
        <w:separator/>
      </w:r>
    </w:p>
  </w:footnote>
  <w:footnote w:type="continuationSeparator" w:id="0">
    <w:p w14:paraId="56557EBF" w14:textId="77777777" w:rsidR="00CA0BFF" w:rsidRDefault="00CA0BFF" w:rsidP="00AF2C92">
      <w:r>
        <w:continuationSeparator/>
      </w:r>
    </w:p>
  </w:footnote>
  <w:footnote w:id="1">
    <w:p w14:paraId="735F8691" w14:textId="00287D67" w:rsidR="004A477C" w:rsidRPr="004D51D9" w:rsidRDefault="004A477C" w:rsidP="004D51D9">
      <w:pPr>
        <w:pStyle w:val="FootnoteText"/>
      </w:pPr>
      <w:r w:rsidRPr="00F16756">
        <w:rPr>
          <w:rStyle w:val="FootnoteReference"/>
        </w:rPr>
        <w:footnoteRef/>
      </w:r>
      <w:r w:rsidR="00C0654B">
        <w:t xml:space="preserve"> </w:t>
      </w:r>
      <w:r w:rsidRPr="004D51D9">
        <w:t xml:space="preserve">Notable exceptions include </w:t>
      </w:r>
      <w:r w:rsidRPr="004D51D9">
        <w:fldChar w:fldCharType="begin"/>
      </w:r>
      <w:r w:rsidRPr="004D51D9">
        <w:instrText xml:space="preserve"> ADDIN ZOTERO_ITEM CSL_CITATION {"citationID":"B3K1fsE0","properties":{"unsorted":true,"formattedCitation":"(Gyourko &amp; Linneman, 1990; Murray et al., 1991; Moon &amp; Stotsky, 1993; Nagy, 1995, 1997; Early &amp; Olsen, 1998; Heskin et al., 2000; Glaeser &amp; Luttmer, 2003; Krol &amp; Svorny, 2005; Sims, 2007)","plainCitation":"(Gyourko &amp; Linneman, 1990; Murray et al., 1991; Moon &amp; Stotsky, 1993; Nagy, 1995, 1997; Early &amp; Olsen, 1998; Heskin et al., 2000; Glaeser &amp; Luttmer, 2003; Krol &amp; Svorny, 2005; Sims, 2007)","noteIndex":1},"citationItems":[{"id":563,"uris":["http://zotero.org/users/3697207/items/MY5KGI78"],"uri":["http://zotero.org/users/3697207/items/MY5KGI78"],"itemData":{"id":563,"type":"article-journal","container-title":"Journal of Urban Economics","issue":"3","note":"publisher: Academic Press","page":"398–409","source":"Google Scholar","title":"Rent controls and rental housing quality: A note on the effects of New York City's old controls","title-short":"Rent controls and rental housing quality","volume":"27","author":[{"family":"Gyourko","given":"Joseph"},{"family":"Linneman","given":"Peter"}],"issued":{"date-parts":[["1990"]]}}},{"id":552,"uris":["http://zotero.org/users/3697207/items/R9237ITK"],"uri":["http://zotero.org/users/3697207/items/R9237ITK"],"itemData":{"id":552,"type":"article-journal","container-title":"Economic Inquiry","issue":"4","note":"publisher: Wiley Online Library","page":"601–625","source":"Google Scholar","title":"Analyzing rent control: the case of Los Angeles","title-short":"Analyzing rent control","volume":"29","author":[{"family":"Murray","given":"Michael P."},{"family":"Rydell","given":"C. Peter"},{"family":"Barnett","given":"C. Lance"},{"family":"Hillestad","given":"Carol E."},{"family":"Neels","given":"Kevin"}],"issued":{"date-parts":[["1991"]]}}},{"id":565,"uris":["http://zotero.org/users/3697207/items/IYMRNPA9"],"uri":["http://zotero.org/users/3697207/items/IYMRNPA9"],"itemData":{"id":565,"type":"article-journal","container-title":"Journal of Political Economy","issue":"6","note":"publisher: The University of Chicago Press","page":"1114–1148","source":"Google Scholar","title":"The effect of rent control on housing quality change: a longitudinal analysis","title-short":"The effect of rent control on housing quality change","volume":"101","author":[{"family":"Moon","given":"Choon-Geol"},{"family":"Stotsky","given":"Janet G."}],"issued":{"date-parts":[["1993"]]}}},{"id":568,"uris":["http://zotero.org/users/3697207/items/26GYNVYG"],"uri":["http://zotero.org/users/3697207/items/26GYNVYG"],"itemData":{"id":568,"type":"article-journal","container-title":"Journal of Urban Economics","issue":"2","note":"publisher: Elsevier","page":"127–137","source":"Google Scholar","title":"Increased Duration and Sample Attrition in New York City′ s Rent Controlled Sector","volume":"38","author":[{"family":"Nagy","given":"John"}],"issued":{"date-parts":[["1995"]]}}},{"id":571,"uris":["http://zotero.org/users/3697207/items/KR8NJKE5"],"uri":["http://zotero.org/users/3697207/items/KR8NJKE5"],"itemData":{"id":571,"type":"article-journal","container-title":"Journal of Urban Economics","issue":"1","note":"publisher: Elsevier","page":"64–78","source":"Google Scholar","title":"Do vacancy decontrol provisions undo rent control?","volume":"42","author":[{"family":"Nagy","given":"John"}],"issued":{"date-parts":[["1997"]]}}},{"id":560,"uris":["http://zotero.org/users/3697207/items/ECIE6Z38"],"uri":["http://zotero.org/users/3697207/items/ECIE6Z38"],"itemData":{"id":560,"type":"article-journal","container-title":"Regional Science and Urban Economics","issue":"6","note":"publisher: Elsevier","page":"797–816","source":"Google Scholar","title":"Rent control and homelessness","volume":"28","author":[{"family":"Early","given":"Dirk W."},{"family":"Olsen","given":"Edgar O."}],"issued":{"date-parts":[["1998"]]}}},{"id":582,"uris":["http://zotero.org/users/3697207/items/RPA6UKN5"],"uri":["http://zotero.org/users/3697207/items/RPA6UKN5"],"itemData":{"id":582,"type":"article-journal","container-title":"Journal of the American Planning Association","issue":"2","note":"publisher: Taylor &amp; Francis","page":"162–176","source":"Google Scholar","title":"The effects of vacancy control: A spatial analysis of four California cities","title-short":"The effects of vacancy control","volume":"66","author":[{"family":"Heskin","given":"Allan D."},{"family":"Levine","given":"Ned"},{"family":"Garrett","given":"Mark"}],"issued":{"date-parts":[["2000"]]}}},{"id":574,"uris":["http://zotero.org/users/3697207/items/5RKT9DBA"],"uri":["http://zotero.org/users/3697207/items/5RKT9DBA"],"itemData":{"id":574,"type":"article-journal","container-title":"American Economic Review","issue":"4","page":"1027–1046","source":"Google Scholar","title":"The misallocation of housing under rent control","volume":"93","author":[{"family":"Glaeser","given":"Edward L."},{"family":"Luttmer","given":"Erzo FP"}],"issued":{"date-parts":[["2003"]]}}},{"id":577,"uris":["http://zotero.org/users/3697207/items/SUB8I4D6"],"uri":["http://zotero.org/users/3697207/items/SUB8I4D6"],"itemData":{"id":577,"type":"article-journal","container-title":"Journal of Urban Economics","issue":"3","note":"publisher: Elsevier","page":"421–436","source":"Google Scholar","title":"The effect of rent control on commute times","volume":"58","author":[{"family":"Krol","given":"Robert"},{"family":"Svorny","given":"Shirley"}],"issued":{"date-parts":[["2005"]]}}},{"id":500,"uris":["http://zotero.org/users/3697207/items/P58MUSH3"],"uri":["http://zotero.org/users/3697207/items/P58MUSH3"],"itemData":{"id":500,"type":"article-journal","container-title":"Journal of Urban Economics","issue":"1","note":"publisher: Elsevier","page":"129–151","source":"Google Scholar","title":"Out of control: What can we learn from the end of Massachusetts rent control?","title-short":"Out of control","volume":"61","author":[{"family":"Sims","given":"David P."}],"issued":{"date-parts":[["2007"]]}}}],"schema":"https://github.com/citation-style-language/schema/raw/master/csl-citation.json"} </w:instrText>
      </w:r>
      <w:r w:rsidRPr="004D51D9">
        <w:fldChar w:fldCharType="separate"/>
      </w:r>
      <w:r w:rsidRPr="004D51D9">
        <w:t>(Gyourko &amp; Linneman, 1990; Murray et al., 1991; Moon &amp; Stotsky, 1993; Nagy, 1995, 1997; Early &amp; Olsen, 1998; Heskin et al., 2000; Glaeser &amp; Luttmer, 2003; Krol &amp; Svorny, 2005; Sims, 2007)</w:t>
      </w:r>
      <w:r w:rsidRPr="004D51D9">
        <w:fldChar w:fldCharType="end"/>
      </w:r>
      <w:r w:rsidRPr="004D51D9">
        <w:t>.</w:t>
      </w:r>
    </w:p>
  </w:footnote>
  <w:footnote w:id="2">
    <w:p w14:paraId="32BA5792" w14:textId="5E4638D0" w:rsidR="004A477C" w:rsidRPr="004D51D9" w:rsidRDefault="004A477C" w:rsidP="004D51D9">
      <w:pPr>
        <w:pStyle w:val="FootnoteText"/>
      </w:pPr>
      <w:r w:rsidRPr="00F16756">
        <w:rPr>
          <w:rStyle w:val="FootnoteReference"/>
        </w:rPr>
        <w:footnoteRef/>
      </w:r>
      <w:r w:rsidRPr="004D51D9">
        <w:t xml:space="preserve"> </w:t>
      </w:r>
      <w:r w:rsidR="00C0654B">
        <w:t xml:space="preserve">Early &amp; Olsen </w:t>
      </w:r>
      <w:r w:rsidRPr="003738A7">
        <w:fldChar w:fldCharType="begin"/>
      </w:r>
      <w:r w:rsidR="00C0654B">
        <w:instrText xml:space="preserve"> ADDIN ZOTERO_ITEM CSL_CITATION {"citationID":"3Asc3G1m","properties":{"formattedCitation":"(1998)","plainCitation":"(1998)","noteIndex":2},"citationItems":[{"id":560,"uris":["http://zotero.org/users/3697207/items/ECIE6Z38"],"uri":["http://zotero.org/users/3697207/items/ECIE6Z38"],"itemData":{"id":560,"type":"article-journal","container-title":"Regional Science and Urban Economics","issue":"6","note":"publisher: Elsevier","page":"797–816","source":"Google Scholar","title":"Rent control and homelessness","volume":"28","author":[{"family":"Early","given":"Dirk W."},{"family":"Olsen","given":"Edgar O."}],"issued":{"date-parts":[["1998"]]}},"suppress-author":true}],"schema":"https://github.com/citation-style-language/schema/raw/master/csl-citation.json"} </w:instrText>
      </w:r>
      <w:r w:rsidRPr="003738A7">
        <w:fldChar w:fldCharType="separate"/>
      </w:r>
      <w:r w:rsidR="00C0654B">
        <w:t>(1998)</w:t>
      </w:r>
      <w:r w:rsidRPr="003738A7">
        <w:fldChar w:fldCharType="end"/>
      </w:r>
      <w:r w:rsidRPr="003738A7">
        <w:t xml:space="preserve">, </w:t>
      </w:r>
      <w:r w:rsidR="00C0654B">
        <w:t xml:space="preserve">Krol &amp; Svorny </w:t>
      </w:r>
      <w:r w:rsidR="00C0654B">
        <w:fldChar w:fldCharType="begin"/>
      </w:r>
      <w:r w:rsidR="00C0654B">
        <w:instrText xml:space="preserve"> ADDIN ZOTERO_ITEM CSL_CITATION {"citationID":"t4RN32XB","properties":{"formattedCitation":"(2005)","plainCitation":"(2005)","noteIndex":2},"citationItems":[{"id":577,"uris":["http://zotero.org/users/3697207/items/SUB8I4D6"],"uri":["http://zotero.org/users/3697207/items/SUB8I4D6"],"itemData":{"id":577,"type":"article-journal","container-title":"Journal of Urban Economics","issue":"3","note":"publisher: Elsevier","page":"421–436","source":"Google Scholar","title":"The effect of rent control on commute times","volume":"58","author":[{"family":"Krol","given":"Robert"},{"family":"Svorny","given":"Shirley"}],"issued":{"date-parts":[["2005"]]}},"suppress-author":true}],"schema":"https://github.com/citation-style-language/schema/raw/master/csl-citation.json"} </w:instrText>
      </w:r>
      <w:r w:rsidR="00C0654B">
        <w:fldChar w:fldCharType="separate"/>
      </w:r>
      <w:r w:rsidR="00C0654B">
        <w:rPr>
          <w:noProof/>
        </w:rPr>
        <w:t>(2005)</w:t>
      </w:r>
      <w:r w:rsidR="00C0654B">
        <w:fldChar w:fldCharType="end"/>
      </w:r>
      <w:r w:rsidR="00C0654B">
        <w:t xml:space="preserve">, </w:t>
      </w:r>
      <w:r w:rsidRPr="003738A7">
        <w:t xml:space="preserve">and </w:t>
      </w:r>
      <w:r w:rsidR="00C0654B">
        <w:t xml:space="preserve">Ambrosius et al. </w:t>
      </w:r>
      <w:r w:rsidRPr="003738A7">
        <w:fldChar w:fldCharType="begin"/>
      </w:r>
      <w:r w:rsidR="00C0654B">
        <w:instrText xml:space="preserve"> ADDIN ZOTERO_ITEM CSL_CITATION {"citationID":"1w4ZrqsK","properties":{"formattedCitation":"(2015)","plainCitation":"(2015)","noteIndex":2},"citationItems":[{"id":588,"uris":["http://zotero.org/users/3697207/items/RSJ6EZ2T"],"uri":["http://zotero.org/users/3697207/items/RSJ6EZ2T"],"itemData":{"id":588,"type":"article-journal","container-title":"Cities","note":"publisher: Elsevier","page":"121–133","source":"Google Scholar","title":"Forty years of rent control: Reexamining New Jersey’s moderate local policies after the great recession","title-short":"Forty years of rent control","volume":"49","author":[{"family":"Ambrosius","given":"Joshua D."},{"family":"Gilderbloom","given":"John I."},{"family":"Steele","given":"William J."},{"family":"Meares","given":"Wesley L."},{"family":"Keating","given":"Dennis"}],"issued":{"date-parts":[["2015"]]}},"suppress-author":true}],"schema":"https://github.com/citation-style-language/schema/raw/master/csl-citation.json"} </w:instrText>
      </w:r>
      <w:r w:rsidRPr="003738A7">
        <w:fldChar w:fldCharType="separate"/>
      </w:r>
      <w:r w:rsidR="00C0654B">
        <w:t>(2015)</w:t>
      </w:r>
      <w:r w:rsidRPr="003738A7">
        <w:fldChar w:fldCharType="end"/>
      </w:r>
      <w:r w:rsidRPr="003738A7">
        <w:t xml:space="preserve"> could be considered exceptions</w:t>
      </w:r>
      <w:r w:rsidR="00C0654B">
        <w:t>,</w:t>
      </w:r>
      <w:r w:rsidRPr="003738A7">
        <w:t xml:space="preserve"> but these rely on census data rather than disaggregate tenant observations.</w:t>
      </w:r>
    </w:p>
  </w:footnote>
  <w:footnote w:id="3">
    <w:p w14:paraId="73FE1F44" w14:textId="771EF1A7" w:rsidR="00C0654B" w:rsidRPr="00C0654B" w:rsidRDefault="00C0654B" w:rsidP="00C0654B">
      <w:pPr>
        <w:pStyle w:val="FootnoteText"/>
        <w:rPr>
          <w:rStyle w:val="FootnoteTextChar"/>
          <w:lang w:val="en-US" w:eastAsia="en-US"/>
        </w:rPr>
      </w:pPr>
      <w:r>
        <w:rPr>
          <w:rStyle w:val="FootnoteReference"/>
        </w:rPr>
        <w:footnoteRef/>
      </w:r>
      <w:r>
        <w:t xml:space="preserve"> </w:t>
      </w:r>
      <w:r>
        <w:rPr>
          <w:rStyle w:val="FootnoteTextChar"/>
          <w:lang w:val="en-US" w:eastAsia="en-US"/>
        </w:rPr>
        <w:t>San Francisco Administrative Code Chapter 37</w:t>
      </w:r>
    </w:p>
  </w:footnote>
  <w:footnote w:id="4">
    <w:p w14:paraId="35726422" w14:textId="77777777" w:rsidR="00C0654B" w:rsidRPr="00C0654B" w:rsidRDefault="00C0654B" w:rsidP="00C0654B">
      <w:pPr>
        <w:pStyle w:val="FootnoteText"/>
        <w:rPr>
          <w:lang w:val="en-US"/>
        </w:rPr>
      </w:pPr>
      <w:r>
        <w:rPr>
          <w:rStyle w:val="FootnoteReference"/>
        </w:rPr>
        <w:footnoteRef/>
      </w:r>
      <w:r>
        <w:t xml:space="preserve"> </w:t>
      </w:r>
      <w:r>
        <w:rPr>
          <w:lang w:val="en-US"/>
        </w:rPr>
        <w:t>In the context of this paper, I will use both terms (“stabilization” and “control”) in reference to the San Francisco Rent Ordinance.</w:t>
      </w:r>
    </w:p>
  </w:footnote>
  <w:footnote w:id="5">
    <w:p w14:paraId="7487694F" w14:textId="46A68221" w:rsidR="00C96266" w:rsidRPr="004D51D9" w:rsidRDefault="00C96266" w:rsidP="00C96266">
      <w:pPr>
        <w:pStyle w:val="FootnoteText"/>
      </w:pPr>
      <w:r w:rsidRPr="00F16756">
        <w:rPr>
          <w:rStyle w:val="FootnoteReference"/>
        </w:rPr>
        <w:footnoteRef/>
      </w:r>
      <w:r w:rsidRPr="004D51D9">
        <w:t xml:space="preserve"> In this case, the </w:t>
      </w:r>
      <w:r>
        <w:t xml:space="preserve">eviction </w:t>
      </w:r>
      <w:r w:rsidRPr="004D51D9">
        <w:t>records were graciously provided to the author, unaltered, courtesy of the Anti-Eviction Mapping Project</w:t>
      </w:r>
      <w:r>
        <w:t xml:space="preserve"> </w:t>
      </w:r>
      <w:r>
        <w:fldChar w:fldCharType="begin"/>
      </w:r>
      <w:r>
        <w:instrText xml:space="preserve"> ADDIN ZOTERO_ITEM CSL_CITATION {"citationID":"SsVcpqH9","properties":{"formattedCitation":"(Maharawal &amp; McElroy, 2018)","plainCitation":"(Maharawal &amp; McElroy, 2018)","noteIndex":5},"citationItems":[{"id":643,"uris":["http://zotero.org/users/3697207/items/YSJTHI5I"],"uri":["http://zotero.org/users/3697207/items/YSJTHI5I"],"itemData":{"id":643,"type":"article-journal","container-title":"Annals of the American Association of Geographers","issue":"2","note":"publisher: Taylor &amp; Francis","page":"380–389","source":"Google Scholar","title":"The anti-eviction mapping project: Counter mapping and oral history toward bay area housing justice","title-short":"The anti-eviction mapping project","volume":"108","author":[{"family":"Maharawal","given":"Manissa M."},{"family":"McElroy","given":"Erin"}],"issued":{"date-parts":[["2018"]]}}}],"schema":"https://github.com/citation-style-language/schema/raw/master/csl-citation.json"} </w:instrText>
      </w:r>
      <w:r>
        <w:fldChar w:fldCharType="separate"/>
      </w:r>
      <w:r>
        <w:rPr>
          <w:noProof/>
        </w:rPr>
        <w:t>(Maharawal &amp; McElroy, 2018)</w:t>
      </w:r>
      <w:r>
        <w:fldChar w:fldCharType="end"/>
      </w:r>
      <w:r>
        <w:t>.</w:t>
      </w:r>
    </w:p>
  </w:footnote>
  <w:footnote w:id="6">
    <w:p w14:paraId="45405AC9" w14:textId="12F82D2B" w:rsidR="00C96266" w:rsidRPr="00C96266" w:rsidRDefault="00C96266">
      <w:pPr>
        <w:pStyle w:val="FootnoteText"/>
        <w:rPr>
          <w:lang w:val="en-US"/>
        </w:rPr>
      </w:pPr>
      <w:r>
        <w:rPr>
          <w:rStyle w:val="FootnoteReference"/>
        </w:rPr>
        <w:footnoteRef/>
      </w:r>
      <w:r>
        <w:t xml:space="preserve"> This paper will use both “</w:t>
      </w:r>
      <w:r w:rsidRPr="004D51D9">
        <w:t>eviction</w:t>
      </w:r>
      <w:r>
        <w:t>”</w:t>
      </w:r>
      <w:r w:rsidRPr="004D51D9">
        <w:t xml:space="preserve"> and </w:t>
      </w:r>
      <w:r>
        <w:t>“</w:t>
      </w:r>
      <w:r w:rsidRPr="004D51D9">
        <w:t>eviction notice</w:t>
      </w:r>
      <w:r>
        <w:t>”</w:t>
      </w:r>
      <w:r w:rsidRPr="004D51D9">
        <w:t xml:space="preserve"> </w:t>
      </w:r>
      <w:r>
        <w:t xml:space="preserve">in reference to </w:t>
      </w:r>
      <w:r w:rsidRPr="004D51D9">
        <w:t>the Rent Board data.</w:t>
      </w:r>
    </w:p>
  </w:footnote>
  <w:footnote w:id="7">
    <w:p w14:paraId="34341F3A" w14:textId="16156553" w:rsidR="004A477C" w:rsidRDefault="004A477C" w:rsidP="004D51D9">
      <w:pPr>
        <w:pStyle w:val="FootnoteText"/>
        <w:rPr>
          <w:sz w:val="18"/>
          <w:szCs w:val="18"/>
        </w:rPr>
      </w:pPr>
      <w:r w:rsidRPr="00F16756">
        <w:rPr>
          <w:rStyle w:val="FootnoteReference"/>
        </w:rPr>
        <w:footnoteRef/>
      </w:r>
      <w:r w:rsidRPr="004D51D9">
        <w:rPr>
          <w:sz w:val="18"/>
          <w:szCs w:val="18"/>
        </w:rPr>
        <w:t xml:space="preserve"> </w:t>
      </w:r>
      <w:r w:rsidRPr="004D51D9">
        <w:t xml:space="preserve">Properties with a tenancy-in-common (TIC) </w:t>
      </w:r>
      <w:r w:rsidR="00C96266">
        <w:t>use</w:t>
      </w:r>
      <w:r w:rsidRPr="004D51D9">
        <w:t xml:space="preserve"> code are excluded from the analysis.</w:t>
      </w:r>
    </w:p>
  </w:footnote>
  <w:footnote w:id="8">
    <w:p w14:paraId="7EB51333" w14:textId="4FD689FE" w:rsidR="00DB1142" w:rsidRPr="00C96266" w:rsidRDefault="00DB1142" w:rsidP="00DB1142">
      <w:pPr>
        <w:pStyle w:val="FootnoteText"/>
        <w:rPr>
          <w:lang w:val="en-US"/>
        </w:rPr>
      </w:pPr>
      <w:r>
        <w:rPr>
          <w:rStyle w:val="FootnoteReference"/>
        </w:rPr>
        <w:footnoteRef/>
      </w:r>
      <w:r>
        <w:t xml:space="preserve"> </w:t>
      </w:r>
      <w:r>
        <w:rPr>
          <w:lang w:val="en-US"/>
        </w:rPr>
        <w:t>Since the assessor records only provide the property built year, and not month or day, I consider all properties built in 1979 to be rent controlled. By potentially including uncontrolled properties in the sample of controlled properties, it is possible that the estimated treatment effect is conservative in magnitude. However, repeated tests of the models with and without properties built in 1979 did not significantly alter the results.</w:t>
      </w:r>
    </w:p>
  </w:footnote>
  <w:footnote w:id="9">
    <w:p w14:paraId="4E9EC9DD" w14:textId="6603BC0B" w:rsidR="004A477C" w:rsidRPr="004D51D9" w:rsidRDefault="004A477C" w:rsidP="004D51D9">
      <w:pPr>
        <w:pStyle w:val="FootnoteText"/>
        <w:rPr>
          <w:sz w:val="16"/>
          <w:szCs w:val="16"/>
        </w:rPr>
      </w:pPr>
      <w:r w:rsidRPr="00F16756">
        <w:rPr>
          <w:rStyle w:val="FootnoteReference"/>
        </w:rPr>
        <w:footnoteRef/>
      </w:r>
      <w:r>
        <w:t xml:space="preserve"> </w:t>
      </w:r>
      <w:r w:rsidRPr="004D51D9">
        <w:t>Here I use “</w:t>
      </w:r>
      <w:r w:rsidR="00DB1142">
        <w:t>N</w:t>
      </w:r>
      <w:r w:rsidRPr="004D51D9">
        <w:t>o-fault” to describe any of the following nine eviction types: owner move-in (OMI), capital improvement, Ellis Act, condo conversion, substantial rehabilitation, lead remediation, good Samaritan tenancy ends, development agreement, and demolition. All other evictions, except for those where the eviction type was not indicated, are considered “</w:t>
      </w:r>
      <w:r w:rsidR="00DB1142">
        <w:t>A</w:t>
      </w:r>
      <w:r w:rsidRPr="004D51D9">
        <w:t xml:space="preserve">t-fault” </w:t>
      </w:r>
      <w:r w:rsidR="00DB1142">
        <w:t xml:space="preserve">or “Breach of lease” </w:t>
      </w:r>
      <w:r w:rsidRPr="004D51D9">
        <w:t>evictions. See Appendix A For a full enumeration of eviction types, categories, and observations.</w:t>
      </w:r>
    </w:p>
  </w:footnote>
  <w:footnote w:id="10">
    <w:p w14:paraId="3C33FBB5" w14:textId="77777777" w:rsidR="00C96266" w:rsidRPr="004D51D9" w:rsidRDefault="00C96266" w:rsidP="00C96266">
      <w:pPr>
        <w:pStyle w:val="FootnoteText"/>
        <w:rPr>
          <w:sz w:val="20"/>
        </w:rPr>
      </w:pPr>
      <w:r w:rsidRPr="00F16756">
        <w:rPr>
          <w:rStyle w:val="FootnoteReference"/>
        </w:rPr>
        <w:footnoteRef/>
      </w:r>
      <w:r w:rsidRPr="004D51D9">
        <w:rPr>
          <w:sz w:val="20"/>
        </w:rPr>
        <w:t xml:space="preserve"> See </w:t>
      </w:r>
      <w:hyperlink r:id="rId1">
        <w:r w:rsidRPr="004D51D9">
          <w:rPr>
            <w:color w:val="1155CC"/>
            <w:sz w:val="20"/>
            <w:u w:val="single"/>
          </w:rPr>
          <w:t>California Civil Code 1954.50-1954.535</w:t>
        </w:r>
      </w:hyperlink>
    </w:p>
  </w:footnote>
  <w:footnote w:id="11">
    <w:p w14:paraId="3985E7B8" w14:textId="4436BDC2" w:rsidR="004A477C" w:rsidRDefault="004A477C" w:rsidP="004D51D9">
      <w:pPr>
        <w:pStyle w:val="FootnoteText"/>
        <w:rPr>
          <w:sz w:val="20"/>
        </w:rPr>
      </w:pPr>
      <w:r w:rsidRPr="00F16756">
        <w:rPr>
          <w:rStyle w:val="FootnoteReference"/>
        </w:rPr>
        <w:footnoteRef/>
      </w:r>
      <w:r w:rsidRPr="004D51D9">
        <w:rPr>
          <w:sz w:val="20"/>
        </w:rPr>
        <w:t xml:space="preserve"> See </w:t>
      </w:r>
      <w:hyperlink r:id="rId2">
        <w:r w:rsidRPr="004D51D9">
          <w:rPr>
            <w:color w:val="1155CC"/>
            <w:sz w:val="20"/>
            <w:u w:val="single"/>
          </w:rPr>
          <w:t>https://leginfo.legislature.ca.gov/faces/billTextClient.xhtml?bill_id=201920200AB1482</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54AB6C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DD022EA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E3626A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CD2D830"/>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227402F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185865B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346689D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8F80B210"/>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977869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05E942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19"/>
  </w:num>
  <w:num w:numId="3">
    <w:abstractNumId w:val="1"/>
  </w:num>
  <w:num w:numId="4">
    <w:abstractNumId w:val="2"/>
  </w:num>
  <w:num w:numId="5">
    <w:abstractNumId w:val="3"/>
  </w:num>
  <w:num w:numId="6">
    <w:abstractNumId w:val="4"/>
  </w:num>
  <w:num w:numId="7">
    <w:abstractNumId w:val="9"/>
  </w:num>
  <w:num w:numId="8">
    <w:abstractNumId w:val="5"/>
  </w:num>
  <w:num w:numId="9">
    <w:abstractNumId w:val="7"/>
  </w:num>
  <w:num w:numId="10">
    <w:abstractNumId w:val="6"/>
  </w:num>
  <w:num w:numId="11">
    <w:abstractNumId w:val="10"/>
  </w:num>
  <w:num w:numId="12">
    <w:abstractNumId w:val="8"/>
  </w:num>
  <w:num w:numId="13">
    <w:abstractNumId w:val="17"/>
  </w:num>
  <w:num w:numId="14">
    <w:abstractNumId w:val="20"/>
  </w:num>
  <w:num w:numId="15">
    <w:abstractNumId w:val="14"/>
  </w:num>
  <w:num w:numId="16">
    <w:abstractNumId w:val="16"/>
  </w:num>
  <w:num w:numId="17">
    <w:abstractNumId w:val="11"/>
  </w:num>
  <w:num w:numId="18">
    <w:abstractNumId w:val="0"/>
  </w:num>
  <w:num w:numId="19">
    <w:abstractNumId w:val="12"/>
  </w:num>
  <w:num w:numId="20">
    <w:abstractNumId w:val="20"/>
  </w:num>
  <w:num w:numId="21">
    <w:abstractNumId w:val="20"/>
  </w:num>
  <w:num w:numId="22">
    <w:abstractNumId w:val="20"/>
  </w:num>
  <w:num w:numId="23">
    <w:abstractNumId w:val="20"/>
  </w:num>
  <w:num w:numId="24">
    <w:abstractNumId w:val="17"/>
  </w:num>
  <w:num w:numId="25">
    <w:abstractNumId w:val="18"/>
  </w:num>
  <w:num w:numId="26">
    <w:abstractNumId w:val="21"/>
  </w:num>
  <w:num w:numId="27">
    <w:abstractNumId w:val="22"/>
  </w:num>
  <w:num w:numId="28">
    <w:abstractNumId w:val="20"/>
  </w:num>
  <w:num w:numId="29">
    <w:abstractNumId w:val="13"/>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F4975"/>
    <w:rsid w:val="00001899"/>
    <w:rsid w:val="000041D6"/>
    <w:rsid w:val="000049AD"/>
    <w:rsid w:val="000133C0"/>
    <w:rsid w:val="00014C4E"/>
    <w:rsid w:val="00017107"/>
    <w:rsid w:val="000202E2"/>
    <w:rsid w:val="00022441"/>
    <w:rsid w:val="0002261E"/>
    <w:rsid w:val="00024839"/>
    <w:rsid w:val="00026871"/>
    <w:rsid w:val="00036728"/>
    <w:rsid w:val="00037A98"/>
    <w:rsid w:val="000427FB"/>
    <w:rsid w:val="0004455E"/>
    <w:rsid w:val="00047CB5"/>
    <w:rsid w:val="00051FAA"/>
    <w:rsid w:val="00052019"/>
    <w:rsid w:val="000572A9"/>
    <w:rsid w:val="00061325"/>
    <w:rsid w:val="000733AC"/>
    <w:rsid w:val="00074D22"/>
    <w:rsid w:val="00075081"/>
    <w:rsid w:val="0007528A"/>
    <w:rsid w:val="000811AB"/>
    <w:rsid w:val="00083782"/>
    <w:rsid w:val="00083C5F"/>
    <w:rsid w:val="0009172C"/>
    <w:rsid w:val="00092D52"/>
    <w:rsid w:val="00092FE4"/>
    <w:rsid w:val="000930EC"/>
    <w:rsid w:val="00095E61"/>
    <w:rsid w:val="000966C1"/>
    <w:rsid w:val="000970AC"/>
    <w:rsid w:val="000A1167"/>
    <w:rsid w:val="000A4428"/>
    <w:rsid w:val="000A6D40"/>
    <w:rsid w:val="000A7BC3"/>
    <w:rsid w:val="000B12CD"/>
    <w:rsid w:val="000B1661"/>
    <w:rsid w:val="000B2E88"/>
    <w:rsid w:val="000B4603"/>
    <w:rsid w:val="000C09BE"/>
    <w:rsid w:val="000C1380"/>
    <w:rsid w:val="000C554F"/>
    <w:rsid w:val="000C73AA"/>
    <w:rsid w:val="000D0DC5"/>
    <w:rsid w:val="000D15FF"/>
    <w:rsid w:val="000D28DF"/>
    <w:rsid w:val="000D488B"/>
    <w:rsid w:val="000D68DF"/>
    <w:rsid w:val="000E138D"/>
    <w:rsid w:val="000E187A"/>
    <w:rsid w:val="000E2D61"/>
    <w:rsid w:val="000E450E"/>
    <w:rsid w:val="000E6259"/>
    <w:rsid w:val="000F4677"/>
    <w:rsid w:val="000F5BE0"/>
    <w:rsid w:val="00100587"/>
    <w:rsid w:val="0010284E"/>
    <w:rsid w:val="00103122"/>
    <w:rsid w:val="0010336A"/>
    <w:rsid w:val="001050F1"/>
    <w:rsid w:val="00105AEA"/>
    <w:rsid w:val="00106DAF"/>
    <w:rsid w:val="00116023"/>
    <w:rsid w:val="00117153"/>
    <w:rsid w:val="00134A51"/>
    <w:rsid w:val="00140727"/>
    <w:rsid w:val="00145020"/>
    <w:rsid w:val="0015763C"/>
    <w:rsid w:val="00160628"/>
    <w:rsid w:val="00161344"/>
    <w:rsid w:val="00162195"/>
    <w:rsid w:val="0016322A"/>
    <w:rsid w:val="00165A21"/>
    <w:rsid w:val="001705CE"/>
    <w:rsid w:val="0017714B"/>
    <w:rsid w:val="001804DF"/>
    <w:rsid w:val="00181BDC"/>
    <w:rsid w:val="00181DB0"/>
    <w:rsid w:val="001829E3"/>
    <w:rsid w:val="0018476D"/>
    <w:rsid w:val="00184890"/>
    <w:rsid w:val="0019731E"/>
    <w:rsid w:val="001A09FE"/>
    <w:rsid w:val="001A67C9"/>
    <w:rsid w:val="001A69DE"/>
    <w:rsid w:val="001B1C7C"/>
    <w:rsid w:val="001B398F"/>
    <w:rsid w:val="001B46C6"/>
    <w:rsid w:val="001B4B48"/>
    <w:rsid w:val="001B4D1F"/>
    <w:rsid w:val="001B7681"/>
    <w:rsid w:val="001B7CAE"/>
    <w:rsid w:val="001C0772"/>
    <w:rsid w:val="001C0D4F"/>
    <w:rsid w:val="001C1DEC"/>
    <w:rsid w:val="001C4E64"/>
    <w:rsid w:val="001C5736"/>
    <w:rsid w:val="001C5D2E"/>
    <w:rsid w:val="001D4A49"/>
    <w:rsid w:val="001E0572"/>
    <w:rsid w:val="001E0A67"/>
    <w:rsid w:val="001E1028"/>
    <w:rsid w:val="001E14E2"/>
    <w:rsid w:val="001E6302"/>
    <w:rsid w:val="001E7DCB"/>
    <w:rsid w:val="001F3411"/>
    <w:rsid w:val="001F4287"/>
    <w:rsid w:val="001F4DBA"/>
    <w:rsid w:val="0020415E"/>
    <w:rsid w:val="00204FF4"/>
    <w:rsid w:val="0021056E"/>
    <w:rsid w:val="0021075D"/>
    <w:rsid w:val="0021102C"/>
    <w:rsid w:val="0021165A"/>
    <w:rsid w:val="00211BC9"/>
    <w:rsid w:val="0021620C"/>
    <w:rsid w:val="00216E78"/>
    <w:rsid w:val="00217275"/>
    <w:rsid w:val="00231BB0"/>
    <w:rsid w:val="00236F4B"/>
    <w:rsid w:val="00242B0D"/>
    <w:rsid w:val="002467C6"/>
    <w:rsid w:val="0024692A"/>
    <w:rsid w:val="00252BBA"/>
    <w:rsid w:val="00253123"/>
    <w:rsid w:val="00264001"/>
    <w:rsid w:val="00266354"/>
    <w:rsid w:val="00267A18"/>
    <w:rsid w:val="00273462"/>
    <w:rsid w:val="0027395B"/>
    <w:rsid w:val="00274CE7"/>
    <w:rsid w:val="00275854"/>
    <w:rsid w:val="00283B41"/>
    <w:rsid w:val="00285F28"/>
    <w:rsid w:val="00286398"/>
    <w:rsid w:val="00286C1F"/>
    <w:rsid w:val="00290EA4"/>
    <w:rsid w:val="002A3C42"/>
    <w:rsid w:val="002A5D75"/>
    <w:rsid w:val="002B1B1A"/>
    <w:rsid w:val="002B7228"/>
    <w:rsid w:val="002C53EE"/>
    <w:rsid w:val="002C671C"/>
    <w:rsid w:val="002D24F7"/>
    <w:rsid w:val="002D2799"/>
    <w:rsid w:val="002D2CD7"/>
    <w:rsid w:val="002D4DDC"/>
    <w:rsid w:val="002D4F75"/>
    <w:rsid w:val="002D6493"/>
    <w:rsid w:val="002D7AB6"/>
    <w:rsid w:val="002E06D0"/>
    <w:rsid w:val="002E3C27"/>
    <w:rsid w:val="002E403A"/>
    <w:rsid w:val="002E7F3A"/>
    <w:rsid w:val="002F4EDB"/>
    <w:rsid w:val="002F6054"/>
    <w:rsid w:val="00302396"/>
    <w:rsid w:val="00315713"/>
    <w:rsid w:val="0031686C"/>
    <w:rsid w:val="00316FE0"/>
    <w:rsid w:val="003203E2"/>
    <w:rsid w:val="003204D2"/>
    <w:rsid w:val="0032605E"/>
    <w:rsid w:val="003275D1"/>
    <w:rsid w:val="00330B2A"/>
    <w:rsid w:val="00331E17"/>
    <w:rsid w:val="00333063"/>
    <w:rsid w:val="003408E3"/>
    <w:rsid w:val="00343480"/>
    <w:rsid w:val="0034432E"/>
    <w:rsid w:val="00345E89"/>
    <w:rsid w:val="003522A1"/>
    <w:rsid w:val="0035254B"/>
    <w:rsid w:val="00353555"/>
    <w:rsid w:val="003565D4"/>
    <w:rsid w:val="003607FB"/>
    <w:rsid w:val="00360FD5"/>
    <w:rsid w:val="003634A5"/>
    <w:rsid w:val="00366868"/>
    <w:rsid w:val="00367506"/>
    <w:rsid w:val="00370085"/>
    <w:rsid w:val="003738A7"/>
    <w:rsid w:val="003744A7"/>
    <w:rsid w:val="00376235"/>
    <w:rsid w:val="00381FB6"/>
    <w:rsid w:val="003836D3"/>
    <w:rsid w:val="00383A52"/>
    <w:rsid w:val="00391652"/>
    <w:rsid w:val="0039507F"/>
    <w:rsid w:val="003A1260"/>
    <w:rsid w:val="003A295F"/>
    <w:rsid w:val="003A41DD"/>
    <w:rsid w:val="003A654F"/>
    <w:rsid w:val="003A7033"/>
    <w:rsid w:val="003B3C2E"/>
    <w:rsid w:val="003B47FE"/>
    <w:rsid w:val="003B5673"/>
    <w:rsid w:val="003B62C9"/>
    <w:rsid w:val="003C7176"/>
    <w:rsid w:val="003D0929"/>
    <w:rsid w:val="003D2DDC"/>
    <w:rsid w:val="003D4729"/>
    <w:rsid w:val="003D70CE"/>
    <w:rsid w:val="003D7DD6"/>
    <w:rsid w:val="003E5AAF"/>
    <w:rsid w:val="003E600D"/>
    <w:rsid w:val="003E64DF"/>
    <w:rsid w:val="003E6A5D"/>
    <w:rsid w:val="003E7401"/>
    <w:rsid w:val="003F193A"/>
    <w:rsid w:val="003F4207"/>
    <w:rsid w:val="003F5C46"/>
    <w:rsid w:val="003F7CBB"/>
    <w:rsid w:val="003F7D34"/>
    <w:rsid w:val="00412C8E"/>
    <w:rsid w:val="0041518D"/>
    <w:rsid w:val="0042221D"/>
    <w:rsid w:val="00424DD3"/>
    <w:rsid w:val="004269C5"/>
    <w:rsid w:val="00435939"/>
    <w:rsid w:val="00437CC7"/>
    <w:rsid w:val="00442B9C"/>
    <w:rsid w:val="0044738A"/>
    <w:rsid w:val="004473D3"/>
    <w:rsid w:val="00452231"/>
    <w:rsid w:val="00460C13"/>
    <w:rsid w:val="00463228"/>
    <w:rsid w:val="00463782"/>
    <w:rsid w:val="004667E0"/>
    <w:rsid w:val="0046760E"/>
    <w:rsid w:val="00470E10"/>
    <w:rsid w:val="004716BE"/>
    <w:rsid w:val="004730E8"/>
    <w:rsid w:val="00473368"/>
    <w:rsid w:val="00477A97"/>
    <w:rsid w:val="00481343"/>
    <w:rsid w:val="00483796"/>
    <w:rsid w:val="0048449A"/>
    <w:rsid w:val="0048549E"/>
    <w:rsid w:val="00493347"/>
    <w:rsid w:val="00496092"/>
    <w:rsid w:val="004A08DB"/>
    <w:rsid w:val="004A25D0"/>
    <w:rsid w:val="004A37E8"/>
    <w:rsid w:val="004A477C"/>
    <w:rsid w:val="004A5EA0"/>
    <w:rsid w:val="004A7549"/>
    <w:rsid w:val="004B09D4"/>
    <w:rsid w:val="004B0DE9"/>
    <w:rsid w:val="004B2BDB"/>
    <w:rsid w:val="004B330A"/>
    <w:rsid w:val="004B7C8E"/>
    <w:rsid w:val="004D0EDC"/>
    <w:rsid w:val="004D1220"/>
    <w:rsid w:val="004D14B3"/>
    <w:rsid w:val="004D1529"/>
    <w:rsid w:val="004D2253"/>
    <w:rsid w:val="004D51D9"/>
    <w:rsid w:val="004D5514"/>
    <w:rsid w:val="004D56C3"/>
    <w:rsid w:val="004E0338"/>
    <w:rsid w:val="004E3776"/>
    <w:rsid w:val="004E4FF3"/>
    <w:rsid w:val="004E56A8"/>
    <w:rsid w:val="004F3B55"/>
    <w:rsid w:val="004F4E46"/>
    <w:rsid w:val="004F6B7D"/>
    <w:rsid w:val="005015F6"/>
    <w:rsid w:val="005030C4"/>
    <w:rsid w:val="005031C5"/>
    <w:rsid w:val="00504FDC"/>
    <w:rsid w:val="005120CC"/>
    <w:rsid w:val="00512B7B"/>
    <w:rsid w:val="00514EA1"/>
    <w:rsid w:val="00516AAB"/>
    <w:rsid w:val="0051798B"/>
    <w:rsid w:val="00521F5A"/>
    <w:rsid w:val="00525E06"/>
    <w:rsid w:val="00526454"/>
    <w:rsid w:val="00531823"/>
    <w:rsid w:val="00534ECC"/>
    <w:rsid w:val="0053720D"/>
    <w:rsid w:val="00540EF5"/>
    <w:rsid w:val="00541BF3"/>
    <w:rsid w:val="00541CD3"/>
    <w:rsid w:val="005476FA"/>
    <w:rsid w:val="0055595E"/>
    <w:rsid w:val="00557988"/>
    <w:rsid w:val="00562C49"/>
    <w:rsid w:val="00562DEF"/>
    <w:rsid w:val="00563A35"/>
    <w:rsid w:val="00566596"/>
    <w:rsid w:val="005741E9"/>
    <w:rsid w:val="005748CF"/>
    <w:rsid w:val="00584270"/>
    <w:rsid w:val="00584738"/>
    <w:rsid w:val="005920B0"/>
    <w:rsid w:val="0059380D"/>
    <w:rsid w:val="00595A8F"/>
    <w:rsid w:val="00597BF2"/>
    <w:rsid w:val="005A055C"/>
    <w:rsid w:val="005A5205"/>
    <w:rsid w:val="005B134E"/>
    <w:rsid w:val="005B2039"/>
    <w:rsid w:val="005B344F"/>
    <w:rsid w:val="005B3FBA"/>
    <w:rsid w:val="005B4A1D"/>
    <w:rsid w:val="005B674D"/>
    <w:rsid w:val="005C0CBE"/>
    <w:rsid w:val="005C1FCF"/>
    <w:rsid w:val="005D1885"/>
    <w:rsid w:val="005D4A38"/>
    <w:rsid w:val="005E0BB7"/>
    <w:rsid w:val="005E2EEA"/>
    <w:rsid w:val="005E3708"/>
    <w:rsid w:val="005E3CCD"/>
    <w:rsid w:val="005E3D6B"/>
    <w:rsid w:val="005E477A"/>
    <w:rsid w:val="005E5E4A"/>
    <w:rsid w:val="005E693D"/>
    <w:rsid w:val="005E75BF"/>
    <w:rsid w:val="005F57BA"/>
    <w:rsid w:val="005F5D26"/>
    <w:rsid w:val="005F61E6"/>
    <w:rsid w:val="005F6C45"/>
    <w:rsid w:val="006002CB"/>
    <w:rsid w:val="00605A69"/>
    <w:rsid w:val="00606C54"/>
    <w:rsid w:val="006071A9"/>
    <w:rsid w:val="00612A43"/>
    <w:rsid w:val="00614375"/>
    <w:rsid w:val="00615B0A"/>
    <w:rsid w:val="006168CF"/>
    <w:rsid w:val="0062011B"/>
    <w:rsid w:val="00626DE0"/>
    <w:rsid w:val="00630901"/>
    <w:rsid w:val="00631024"/>
    <w:rsid w:val="00631F8E"/>
    <w:rsid w:val="00636EE9"/>
    <w:rsid w:val="00640950"/>
    <w:rsid w:val="00641AE7"/>
    <w:rsid w:val="00642629"/>
    <w:rsid w:val="0065293D"/>
    <w:rsid w:val="00653EFC"/>
    <w:rsid w:val="00654021"/>
    <w:rsid w:val="00655A63"/>
    <w:rsid w:val="00661045"/>
    <w:rsid w:val="00666DA8"/>
    <w:rsid w:val="00671057"/>
    <w:rsid w:val="00675AAF"/>
    <w:rsid w:val="0068031A"/>
    <w:rsid w:val="00681B2F"/>
    <w:rsid w:val="0068335F"/>
    <w:rsid w:val="00693302"/>
    <w:rsid w:val="00694BCC"/>
    <w:rsid w:val="0069640B"/>
    <w:rsid w:val="00696C41"/>
    <w:rsid w:val="006A1B83"/>
    <w:rsid w:val="006A21CD"/>
    <w:rsid w:val="006A5918"/>
    <w:rsid w:val="006B21B2"/>
    <w:rsid w:val="006B4A4A"/>
    <w:rsid w:val="006C19B2"/>
    <w:rsid w:val="006C5BB8"/>
    <w:rsid w:val="006C6936"/>
    <w:rsid w:val="006C7B01"/>
    <w:rsid w:val="006D0FE8"/>
    <w:rsid w:val="006D4B2B"/>
    <w:rsid w:val="006D4F3C"/>
    <w:rsid w:val="006D5C66"/>
    <w:rsid w:val="006E1B3C"/>
    <w:rsid w:val="006E23FB"/>
    <w:rsid w:val="006E325A"/>
    <w:rsid w:val="006E33EC"/>
    <w:rsid w:val="006E3802"/>
    <w:rsid w:val="006E6C02"/>
    <w:rsid w:val="006F231A"/>
    <w:rsid w:val="006F788D"/>
    <w:rsid w:val="006F78E1"/>
    <w:rsid w:val="00701072"/>
    <w:rsid w:val="00702054"/>
    <w:rsid w:val="007035A4"/>
    <w:rsid w:val="00711799"/>
    <w:rsid w:val="00712B78"/>
    <w:rsid w:val="0071393B"/>
    <w:rsid w:val="00713EE2"/>
    <w:rsid w:val="007177FC"/>
    <w:rsid w:val="00720C5E"/>
    <w:rsid w:val="00721701"/>
    <w:rsid w:val="007248EC"/>
    <w:rsid w:val="00731835"/>
    <w:rsid w:val="007341F8"/>
    <w:rsid w:val="00734372"/>
    <w:rsid w:val="00734EB8"/>
    <w:rsid w:val="00735F8B"/>
    <w:rsid w:val="00742D1F"/>
    <w:rsid w:val="00743EBA"/>
    <w:rsid w:val="00744C8E"/>
    <w:rsid w:val="0074707E"/>
    <w:rsid w:val="0075079F"/>
    <w:rsid w:val="007516DC"/>
    <w:rsid w:val="00754B80"/>
    <w:rsid w:val="00761918"/>
    <w:rsid w:val="00762F03"/>
    <w:rsid w:val="0076413B"/>
    <w:rsid w:val="007648AE"/>
    <w:rsid w:val="00764BF8"/>
    <w:rsid w:val="0076514D"/>
    <w:rsid w:val="00772F21"/>
    <w:rsid w:val="00773D59"/>
    <w:rsid w:val="00781003"/>
    <w:rsid w:val="007839F5"/>
    <w:rsid w:val="00790B81"/>
    <w:rsid w:val="007911FD"/>
    <w:rsid w:val="00793930"/>
    <w:rsid w:val="00793DD1"/>
    <w:rsid w:val="00794FEC"/>
    <w:rsid w:val="007979BB"/>
    <w:rsid w:val="007A003E"/>
    <w:rsid w:val="007A1965"/>
    <w:rsid w:val="007A2ED1"/>
    <w:rsid w:val="007A4BE6"/>
    <w:rsid w:val="007A7A6E"/>
    <w:rsid w:val="007B02C0"/>
    <w:rsid w:val="007B0DC6"/>
    <w:rsid w:val="007B1094"/>
    <w:rsid w:val="007B1762"/>
    <w:rsid w:val="007B2AC7"/>
    <w:rsid w:val="007B3320"/>
    <w:rsid w:val="007C1BB0"/>
    <w:rsid w:val="007C301F"/>
    <w:rsid w:val="007C4540"/>
    <w:rsid w:val="007C65AF"/>
    <w:rsid w:val="007D135D"/>
    <w:rsid w:val="007D730F"/>
    <w:rsid w:val="007D7CD8"/>
    <w:rsid w:val="007E3AA7"/>
    <w:rsid w:val="007F737D"/>
    <w:rsid w:val="0080308E"/>
    <w:rsid w:val="00806705"/>
    <w:rsid w:val="00806738"/>
    <w:rsid w:val="00816000"/>
    <w:rsid w:val="008216D5"/>
    <w:rsid w:val="008249CE"/>
    <w:rsid w:val="0082638A"/>
    <w:rsid w:val="00831A50"/>
    <w:rsid w:val="00831B3C"/>
    <w:rsid w:val="00831C89"/>
    <w:rsid w:val="00832114"/>
    <w:rsid w:val="00834C46"/>
    <w:rsid w:val="008406AA"/>
    <w:rsid w:val="0084093E"/>
    <w:rsid w:val="00841CE1"/>
    <w:rsid w:val="008452FC"/>
    <w:rsid w:val="008473D8"/>
    <w:rsid w:val="008528DC"/>
    <w:rsid w:val="00852B8C"/>
    <w:rsid w:val="00854981"/>
    <w:rsid w:val="00864B2E"/>
    <w:rsid w:val="00865404"/>
    <w:rsid w:val="00865963"/>
    <w:rsid w:val="0087450E"/>
    <w:rsid w:val="00875A82"/>
    <w:rsid w:val="00876CA3"/>
    <w:rsid w:val="008772FE"/>
    <w:rsid w:val="008775F1"/>
    <w:rsid w:val="00877B79"/>
    <w:rsid w:val="008806CA"/>
    <w:rsid w:val="008821AE"/>
    <w:rsid w:val="00883D3A"/>
    <w:rsid w:val="008854F7"/>
    <w:rsid w:val="00885A9D"/>
    <w:rsid w:val="00890514"/>
    <w:rsid w:val="008929D2"/>
    <w:rsid w:val="00893636"/>
    <w:rsid w:val="00893B94"/>
    <w:rsid w:val="00896E9D"/>
    <w:rsid w:val="00896F11"/>
    <w:rsid w:val="008A1049"/>
    <w:rsid w:val="008A1C98"/>
    <w:rsid w:val="008A322D"/>
    <w:rsid w:val="008A4D72"/>
    <w:rsid w:val="008A6285"/>
    <w:rsid w:val="008A63B2"/>
    <w:rsid w:val="008A7146"/>
    <w:rsid w:val="008B345D"/>
    <w:rsid w:val="008C1FC2"/>
    <w:rsid w:val="008C2642"/>
    <w:rsid w:val="008C2980"/>
    <w:rsid w:val="008C5AFB"/>
    <w:rsid w:val="008D07FB"/>
    <w:rsid w:val="008D0C02"/>
    <w:rsid w:val="008D357D"/>
    <w:rsid w:val="008E387B"/>
    <w:rsid w:val="008E5F12"/>
    <w:rsid w:val="008E6087"/>
    <w:rsid w:val="008E758D"/>
    <w:rsid w:val="008F10A7"/>
    <w:rsid w:val="008F755D"/>
    <w:rsid w:val="008F7A39"/>
    <w:rsid w:val="009021E8"/>
    <w:rsid w:val="009079AB"/>
    <w:rsid w:val="00911440"/>
    <w:rsid w:val="00911712"/>
    <w:rsid w:val="00911B27"/>
    <w:rsid w:val="009170BE"/>
    <w:rsid w:val="00920B55"/>
    <w:rsid w:val="009262C9"/>
    <w:rsid w:val="00930EB9"/>
    <w:rsid w:val="00933DC7"/>
    <w:rsid w:val="009418F4"/>
    <w:rsid w:val="00942BBC"/>
    <w:rsid w:val="00944180"/>
    <w:rsid w:val="00944AA0"/>
    <w:rsid w:val="00947DA2"/>
    <w:rsid w:val="00951177"/>
    <w:rsid w:val="00951270"/>
    <w:rsid w:val="00955589"/>
    <w:rsid w:val="00963E93"/>
    <w:rsid w:val="009673E8"/>
    <w:rsid w:val="00974DB8"/>
    <w:rsid w:val="00980661"/>
    <w:rsid w:val="0098093B"/>
    <w:rsid w:val="00981FAF"/>
    <w:rsid w:val="009876D4"/>
    <w:rsid w:val="009914A5"/>
    <w:rsid w:val="0099548E"/>
    <w:rsid w:val="00996456"/>
    <w:rsid w:val="00996A12"/>
    <w:rsid w:val="00997B0F"/>
    <w:rsid w:val="009A1CAD"/>
    <w:rsid w:val="009A3440"/>
    <w:rsid w:val="009A5832"/>
    <w:rsid w:val="009A6838"/>
    <w:rsid w:val="009B24B5"/>
    <w:rsid w:val="009B4EBC"/>
    <w:rsid w:val="009B5ABB"/>
    <w:rsid w:val="009B73CE"/>
    <w:rsid w:val="009C2461"/>
    <w:rsid w:val="009C6FE2"/>
    <w:rsid w:val="009C7674"/>
    <w:rsid w:val="009D004A"/>
    <w:rsid w:val="009D2695"/>
    <w:rsid w:val="009D5880"/>
    <w:rsid w:val="009E3B07"/>
    <w:rsid w:val="009E51D1"/>
    <w:rsid w:val="009E5531"/>
    <w:rsid w:val="009E66C8"/>
    <w:rsid w:val="009F171E"/>
    <w:rsid w:val="009F3D2F"/>
    <w:rsid w:val="009F7052"/>
    <w:rsid w:val="00A02668"/>
    <w:rsid w:val="00A02801"/>
    <w:rsid w:val="00A06A39"/>
    <w:rsid w:val="00A07F58"/>
    <w:rsid w:val="00A131CB"/>
    <w:rsid w:val="00A14847"/>
    <w:rsid w:val="00A16D6D"/>
    <w:rsid w:val="00A21383"/>
    <w:rsid w:val="00A2199F"/>
    <w:rsid w:val="00A21B31"/>
    <w:rsid w:val="00A2360E"/>
    <w:rsid w:val="00A24FFB"/>
    <w:rsid w:val="00A26E0C"/>
    <w:rsid w:val="00A308AD"/>
    <w:rsid w:val="00A32FCB"/>
    <w:rsid w:val="00A34C25"/>
    <w:rsid w:val="00A3507D"/>
    <w:rsid w:val="00A3717A"/>
    <w:rsid w:val="00A4088C"/>
    <w:rsid w:val="00A4456B"/>
    <w:rsid w:val="00A448D4"/>
    <w:rsid w:val="00A452E0"/>
    <w:rsid w:val="00A51EA5"/>
    <w:rsid w:val="00A53742"/>
    <w:rsid w:val="00A557A1"/>
    <w:rsid w:val="00A63059"/>
    <w:rsid w:val="00A63AE3"/>
    <w:rsid w:val="00A651A4"/>
    <w:rsid w:val="00A67BBD"/>
    <w:rsid w:val="00A71361"/>
    <w:rsid w:val="00A746E2"/>
    <w:rsid w:val="00A81FF2"/>
    <w:rsid w:val="00A83904"/>
    <w:rsid w:val="00A90A79"/>
    <w:rsid w:val="00A96B30"/>
    <w:rsid w:val="00AA1535"/>
    <w:rsid w:val="00AA59B5"/>
    <w:rsid w:val="00AA7777"/>
    <w:rsid w:val="00AA7B84"/>
    <w:rsid w:val="00AC0B4C"/>
    <w:rsid w:val="00AC1164"/>
    <w:rsid w:val="00AC2296"/>
    <w:rsid w:val="00AC2754"/>
    <w:rsid w:val="00AC48B0"/>
    <w:rsid w:val="00AC4ACD"/>
    <w:rsid w:val="00AC5DFB"/>
    <w:rsid w:val="00AD13DC"/>
    <w:rsid w:val="00AD6DE2"/>
    <w:rsid w:val="00AE0A40"/>
    <w:rsid w:val="00AE1ED4"/>
    <w:rsid w:val="00AE21E1"/>
    <w:rsid w:val="00AE2F8D"/>
    <w:rsid w:val="00AE3BAE"/>
    <w:rsid w:val="00AE443B"/>
    <w:rsid w:val="00AE6A21"/>
    <w:rsid w:val="00AF1C8F"/>
    <w:rsid w:val="00AF2B68"/>
    <w:rsid w:val="00AF2C92"/>
    <w:rsid w:val="00AF3EC1"/>
    <w:rsid w:val="00AF5025"/>
    <w:rsid w:val="00AF519F"/>
    <w:rsid w:val="00AF5387"/>
    <w:rsid w:val="00AF55F5"/>
    <w:rsid w:val="00AF7E86"/>
    <w:rsid w:val="00B024B9"/>
    <w:rsid w:val="00B04A99"/>
    <w:rsid w:val="00B077FA"/>
    <w:rsid w:val="00B127D7"/>
    <w:rsid w:val="00B13B0C"/>
    <w:rsid w:val="00B1453A"/>
    <w:rsid w:val="00B2041B"/>
    <w:rsid w:val="00B20F82"/>
    <w:rsid w:val="00B25BD5"/>
    <w:rsid w:val="00B26524"/>
    <w:rsid w:val="00B34079"/>
    <w:rsid w:val="00B3793A"/>
    <w:rsid w:val="00B401BA"/>
    <w:rsid w:val="00B407E4"/>
    <w:rsid w:val="00B425B6"/>
    <w:rsid w:val="00B42A72"/>
    <w:rsid w:val="00B43754"/>
    <w:rsid w:val="00B441AE"/>
    <w:rsid w:val="00B452FC"/>
    <w:rsid w:val="00B45F33"/>
    <w:rsid w:val="00B46D50"/>
    <w:rsid w:val="00B505A7"/>
    <w:rsid w:val="00B53170"/>
    <w:rsid w:val="00B62999"/>
    <w:rsid w:val="00B63BE3"/>
    <w:rsid w:val="00B64885"/>
    <w:rsid w:val="00B64D03"/>
    <w:rsid w:val="00B66810"/>
    <w:rsid w:val="00B72BE3"/>
    <w:rsid w:val="00B73B80"/>
    <w:rsid w:val="00B770C7"/>
    <w:rsid w:val="00B80F26"/>
    <w:rsid w:val="00B822BD"/>
    <w:rsid w:val="00B842F4"/>
    <w:rsid w:val="00B91A7B"/>
    <w:rsid w:val="00B929DD"/>
    <w:rsid w:val="00B95405"/>
    <w:rsid w:val="00B963F1"/>
    <w:rsid w:val="00BA020A"/>
    <w:rsid w:val="00BB02A4"/>
    <w:rsid w:val="00BB1270"/>
    <w:rsid w:val="00BB1E44"/>
    <w:rsid w:val="00BB5267"/>
    <w:rsid w:val="00BB52B8"/>
    <w:rsid w:val="00BB59D8"/>
    <w:rsid w:val="00BB7E69"/>
    <w:rsid w:val="00BC3C1F"/>
    <w:rsid w:val="00BC744E"/>
    <w:rsid w:val="00BC7CE7"/>
    <w:rsid w:val="00BD295E"/>
    <w:rsid w:val="00BD4664"/>
    <w:rsid w:val="00BE1193"/>
    <w:rsid w:val="00BF4849"/>
    <w:rsid w:val="00BF4EA7"/>
    <w:rsid w:val="00C00EDB"/>
    <w:rsid w:val="00C02863"/>
    <w:rsid w:val="00C0383A"/>
    <w:rsid w:val="00C0654B"/>
    <w:rsid w:val="00C067FF"/>
    <w:rsid w:val="00C12862"/>
    <w:rsid w:val="00C13D28"/>
    <w:rsid w:val="00C14585"/>
    <w:rsid w:val="00C165A0"/>
    <w:rsid w:val="00C21248"/>
    <w:rsid w:val="00C216CE"/>
    <w:rsid w:val="00C2184F"/>
    <w:rsid w:val="00C22A78"/>
    <w:rsid w:val="00C23C7E"/>
    <w:rsid w:val="00C246C5"/>
    <w:rsid w:val="00C25A82"/>
    <w:rsid w:val="00C30A2A"/>
    <w:rsid w:val="00C33993"/>
    <w:rsid w:val="00C37066"/>
    <w:rsid w:val="00C4069E"/>
    <w:rsid w:val="00C41ADC"/>
    <w:rsid w:val="00C43E4E"/>
    <w:rsid w:val="00C44149"/>
    <w:rsid w:val="00C44410"/>
    <w:rsid w:val="00C44A15"/>
    <w:rsid w:val="00C4630A"/>
    <w:rsid w:val="00C523F0"/>
    <w:rsid w:val="00C526D2"/>
    <w:rsid w:val="00C5794E"/>
    <w:rsid w:val="00C60968"/>
    <w:rsid w:val="00C63D39"/>
    <w:rsid w:val="00C63EDD"/>
    <w:rsid w:val="00C65B36"/>
    <w:rsid w:val="00C7292E"/>
    <w:rsid w:val="00C74E88"/>
    <w:rsid w:val="00C80924"/>
    <w:rsid w:val="00C8286B"/>
    <w:rsid w:val="00C94752"/>
    <w:rsid w:val="00C947F8"/>
    <w:rsid w:val="00C9515F"/>
    <w:rsid w:val="00C96266"/>
    <w:rsid w:val="00C963C5"/>
    <w:rsid w:val="00CA030C"/>
    <w:rsid w:val="00CA0BFF"/>
    <w:rsid w:val="00CA1F41"/>
    <w:rsid w:val="00CA32EE"/>
    <w:rsid w:val="00CA5383"/>
    <w:rsid w:val="00CA6A1A"/>
    <w:rsid w:val="00CB06A3"/>
    <w:rsid w:val="00CB6973"/>
    <w:rsid w:val="00CC1E75"/>
    <w:rsid w:val="00CC2E0E"/>
    <w:rsid w:val="00CC361C"/>
    <w:rsid w:val="00CC474B"/>
    <w:rsid w:val="00CC658C"/>
    <w:rsid w:val="00CC67BF"/>
    <w:rsid w:val="00CD0843"/>
    <w:rsid w:val="00CD5A78"/>
    <w:rsid w:val="00CD7345"/>
    <w:rsid w:val="00CE372E"/>
    <w:rsid w:val="00CF0A1B"/>
    <w:rsid w:val="00CF19F6"/>
    <w:rsid w:val="00CF1DAD"/>
    <w:rsid w:val="00CF2F4F"/>
    <w:rsid w:val="00CF4975"/>
    <w:rsid w:val="00CF536D"/>
    <w:rsid w:val="00D10CB8"/>
    <w:rsid w:val="00D12806"/>
    <w:rsid w:val="00D12D44"/>
    <w:rsid w:val="00D15018"/>
    <w:rsid w:val="00D158AC"/>
    <w:rsid w:val="00D1694C"/>
    <w:rsid w:val="00D20F5E"/>
    <w:rsid w:val="00D23B76"/>
    <w:rsid w:val="00D24E65"/>
    <w:rsid w:val="00D379A3"/>
    <w:rsid w:val="00D43272"/>
    <w:rsid w:val="00D45FF3"/>
    <w:rsid w:val="00D512CF"/>
    <w:rsid w:val="00D528B9"/>
    <w:rsid w:val="00D53186"/>
    <w:rsid w:val="00D542D4"/>
    <w:rsid w:val="00D5487D"/>
    <w:rsid w:val="00D60140"/>
    <w:rsid w:val="00D6024A"/>
    <w:rsid w:val="00D608B5"/>
    <w:rsid w:val="00D71F99"/>
    <w:rsid w:val="00D73CA4"/>
    <w:rsid w:val="00D73D71"/>
    <w:rsid w:val="00D74396"/>
    <w:rsid w:val="00D80284"/>
    <w:rsid w:val="00D81F71"/>
    <w:rsid w:val="00D8642D"/>
    <w:rsid w:val="00D90A5E"/>
    <w:rsid w:val="00D91A68"/>
    <w:rsid w:val="00D95A68"/>
    <w:rsid w:val="00DA17C7"/>
    <w:rsid w:val="00DA489D"/>
    <w:rsid w:val="00DA6A9A"/>
    <w:rsid w:val="00DB1142"/>
    <w:rsid w:val="00DB1EFD"/>
    <w:rsid w:val="00DB3EAF"/>
    <w:rsid w:val="00DB41D6"/>
    <w:rsid w:val="00DC3203"/>
    <w:rsid w:val="00DC3C99"/>
    <w:rsid w:val="00DC52F5"/>
    <w:rsid w:val="00DC5B61"/>
    <w:rsid w:val="00DC5FD0"/>
    <w:rsid w:val="00DD0354"/>
    <w:rsid w:val="00DD27D7"/>
    <w:rsid w:val="00DD458C"/>
    <w:rsid w:val="00DD6E15"/>
    <w:rsid w:val="00DD72E9"/>
    <w:rsid w:val="00DD7605"/>
    <w:rsid w:val="00DE2020"/>
    <w:rsid w:val="00DE3476"/>
    <w:rsid w:val="00DF5B84"/>
    <w:rsid w:val="00DF6D5B"/>
    <w:rsid w:val="00DF771B"/>
    <w:rsid w:val="00DF7EE2"/>
    <w:rsid w:val="00E01BAA"/>
    <w:rsid w:val="00E0282A"/>
    <w:rsid w:val="00E07E14"/>
    <w:rsid w:val="00E12CCF"/>
    <w:rsid w:val="00E14F94"/>
    <w:rsid w:val="00E15E51"/>
    <w:rsid w:val="00E17336"/>
    <w:rsid w:val="00E17D15"/>
    <w:rsid w:val="00E22B95"/>
    <w:rsid w:val="00E270AD"/>
    <w:rsid w:val="00E30331"/>
    <w:rsid w:val="00E30BB8"/>
    <w:rsid w:val="00E31F9C"/>
    <w:rsid w:val="00E40488"/>
    <w:rsid w:val="00E50367"/>
    <w:rsid w:val="00E51ABA"/>
    <w:rsid w:val="00E524CB"/>
    <w:rsid w:val="00E65456"/>
    <w:rsid w:val="00E65A91"/>
    <w:rsid w:val="00E66188"/>
    <w:rsid w:val="00E664FB"/>
    <w:rsid w:val="00E70373"/>
    <w:rsid w:val="00E72E40"/>
    <w:rsid w:val="00E73665"/>
    <w:rsid w:val="00E73999"/>
    <w:rsid w:val="00E73BDC"/>
    <w:rsid w:val="00E73E9E"/>
    <w:rsid w:val="00E77DB9"/>
    <w:rsid w:val="00E81660"/>
    <w:rsid w:val="00E854FE"/>
    <w:rsid w:val="00E860EC"/>
    <w:rsid w:val="00E906CC"/>
    <w:rsid w:val="00E939A0"/>
    <w:rsid w:val="00E97E4E"/>
    <w:rsid w:val="00EA1CC2"/>
    <w:rsid w:val="00EA2D76"/>
    <w:rsid w:val="00EA4644"/>
    <w:rsid w:val="00EA758A"/>
    <w:rsid w:val="00EB199F"/>
    <w:rsid w:val="00EB27C4"/>
    <w:rsid w:val="00EB423F"/>
    <w:rsid w:val="00EB5387"/>
    <w:rsid w:val="00EB53B1"/>
    <w:rsid w:val="00EB5C10"/>
    <w:rsid w:val="00EB7322"/>
    <w:rsid w:val="00EC0FE9"/>
    <w:rsid w:val="00EC426D"/>
    <w:rsid w:val="00EC571B"/>
    <w:rsid w:val="00EC57D7"/>
    <w:rsid w:val="00EC6385"/>
    <w:rsid w:val="00ED1DE9"/>
    <w:rsid w:val="00ED23D4"/>
    <w:rsid w:val="00ED5E0B"/>
    <w:rsid w:val="00EE37B6"/>
    <w:rsid w:val="00EF0F45"/>
    <w:rsid w:val="00EF7463"/>
    <w:rsid w:val="00F002EF"/>
    <w:rsid w:val="00F01EE9"/>
    <w:rsid w:val="00F02F94"/>
    <w:rsid w:val="00F04900"/>
    <w:rsid w:val="00F065A4"/>
    <w:rsid w:val="00F126B9"/>
    <w:rsid w:val="00F12715"/>
    <w:rsid w:val="00F144D5"/>
    <w:rsid w:val="00F146F0"/>
    <w:rsid w:val="00F15039"/>
    <w:rsid w:val="00F16756"/>
    <w:rsid w:val="00F20FF3"/>
    <w:rsid w:val="00F2190B"/>
    <w:rsid w:val="00F228B5"/>
    <w:rsid w:val="00F2389C"/>
    <w:rsid w:val="00F25C67"/>
    <w:rsid w:val="00F30DFF"/>
    <w:rsid w:val="00F32B80"/>
    <w:rsid w:val="00F340EB"/>
    <w:rsid w:val="00F35285"/>
    <w:rsid w:val="00F43B9D"/>
    <w:rsid w:val="00F44D5E"/>
    <w:rsid w:val="00F53A35"/>
    <w:rsid w:val="00F55A3D"/>
    <w:rsid w:val="00F5744B"/>
    <w:rsid w:val="00F61209"/>
    <w:rsid w:val="00F6259E"/>
    <w:rsid w:val="00F65DD4"/>
    <w:rsid w:val="00F672B2"/>
    <w:rsid w:val="00F72EBB"/>
    <w:rsid w:val="00F83973"/>
    <w:rsid w:val="00F87FA3"/>
    <w:rsid w:val="00F93D8C"/>
    <w:rsid w:val="00FA3102"/>
    <w:rsid w:val="00FA48D4"/>
    <w:rsid w:val="00FA54FA"/>
    <w:rsid w:val="00FB227E"/>
    <w:rsid w:val="00FB3D61"/>
    <w:rsid w:val="00FB44CE"/>
    <w:rsid w:val="00FB4A97"/>
    <w:rsid w:val="00FB5009"/>
    <w:rsid w:val="00FB76AB"/>
    <w:rsid w:val="00FC053E"/>
    <w:rsid w:val="00FD03FE"/>
    <w:rsid w:val="00FD126E"/>
    <w:rsid w:val="00FD3C36"/>
    <w:rsid w:val="00FD4D81"/>
    <w:rsid w:val="00FD7498"/>
    <w:rsid w:val="00FD7B6B"/>
    <w:rsid w:val="00FD7FB3"/>
    <w:rsid w:val="00FE4713"/>
    <w:rsid w:val="00FF1F44"/>
    <w:rsid w:val="00FF225E"/>
    <w:rsid w:val="00FF55DD"/>
    <w:rsid w:val="00FF672C"/>
    <w:rsid w:val="00FF6CE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ECB72D"/>
  <w15:docId w15:val="{755BF962-CF54-4842-A33D-9284EDC93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C73AA"/>
    <w:pPr>
      <w:spacing w:line="480" w:lineRule="auto"/>
    </w:pPr>
    <w:rPr>
      <w:sz w:val="24"/>
      <w:szCs w:val="24"/>
    </w:rPr>
  </w:style>
  <w:style w:type="paragraph" w:styleId="Heading1">
    <w:name w:val="heading 1"/>
    <w:basedOn w:val="Normal"/>
    <w:next w:val="Paragraph"/>
    <w:link w:val="Heading1Char"/>
    <w:qFormat/>
    <w:rsid w:val="000C73AA"/>
    <w:pPr>
      <w:keepNext/>
      <w:spacing w:before="360" w:after="60" w:line="360" w:lineRule="auto"/>
      <w:ind w:right="567"/>
      <w:contextualSpacing/>
      <w:outlineLvl w:val="0"/>
    </w:pPr>
    <w:rPr>
      <w:rFonts w:cs="Arial"/>
      <w:b/>
      <w:bCs/>
      <w:kern w:val="32"/>
      <w:szCs w:val="32"/>
    </w:rPr>
  </w:style>
  <w:style w:type="paragraph" w:styleId="Heading2">
    <w:name w:val="heading 2"/>
    <w:basedOn w:val="Normal"/>
    <w:next w:val="Paragraph"/>
    <w:link w:val="Heading2Char"/>
    <w:qFormat/>
    <w:rsid w:val="000C73AA"/>
    <w:pPr>
      <w:keepNext/>
      <w:spacing w:before="360" w:after="60" w:line="360" w:lineRule="auto"/>
      <w:ind w:right="567"/>
      <w:contextualSpacing/>
      <w:outlineLvl w:val="1"/>
    </w:pPr>
    <w:rPr>
      <w:rFonts w:cs="Arial"/>
      <w:b/>
      <w:bCs/>
      <w:i/>
      <w:iCs/>
      <w:szCs w:val="28"/>
    </w:rPr>
  </w:style>
  <w:style w:type="paragraph" w:styleId="Heading3">
    <w:name w:val="heading 3"/>
    <w:basedOn w:val="Normal"/>
    <w:next w:val="Paragraph"/>
    <w:link w:val="Heading3Char"/>
    <w:qFormat/>
    <w:rsid w:val="000C73AA"/>
    <w:pPr>
      <w:keepNext/>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qFormat/>
    <w:rsid w:val="000C73AA"/>
    <w:pPr>
      <w:spacing w:before="360"/>
      <w:outlineLvl w:val="3"/>
    </w:pPr>
    <w:rPr>
      <w:bCs/>
      <w:szCs w:val="28"/>
    </w:rPr>
  </w:style>
  <w:style w:type="character" w:default="1" w:styleId="DefaultParagraphFont">
    <w:name w:val="Default Paragraph Font"/>
    <w:uiPriority w:val="1"/>
    <w:semiHidden/>
    <w:unhideWhenUsed/>
    <w:rsid w:val="000C73A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C73AA"/>
  </w:style>
  <w:style w:type="paragraph" w:customStyle="1" w:styleId="Articletitle">
    <w:name w:val="Article title"/>
    <w:basedOn w:val="Normal"/>
    <w:next w:val="Normal"/>
    <w:qFormat/>
    <w:rsid w:val="000C73AA"/>
    <w:pPr>
      <w:spacing w:after="120" w:line="360" w:lineRule="auto"/>
    </w:pPr>
    <w:rPr>
      <w:b/>
      <w:sz w:val="28"/>
    </w:rPr>
  </w:style>
  <w:style w:type="paragraph" w:customStyle="1" w:styleId="Authornames">
    <w:name w:val="Author names"/>
    <w:basedOn w:val="Normal"/>
    <w:next w:val="Normal"/>
    <w:qFormat/>
    <w:rsid w:val="000C73AA"/>
    <w:pPr>
      <w:spacing w:before="240" w:line="360" w:lineRule="auto"/>
    </w:pPr>
    <w:rPr>
      <w:sz w:val="28"/>
    </w:rPr>
  </w:style>
  <w:style w:type="paragraph" w:customStyle="1" w:styleId="Affiliation">
    <w:name w:val="Affiliation"/>
    <w:basedOn w:val="Normal"/>
    <w:qFormat/>
    <w:rsid w:val="000C73AA"/>
    <w:pPr>
      <w:spacing w:before="240" w:line="360" w:lineRule="auto"/>
    </w:pPr>
    <w:rPr>
      <w:i/>
    </w:rPr>
  </w:style>
  <w:style w:type="paragraph" w:customStyle="1" w:styleId="Receiveddates">
    <w:name w:val="Received dates"/>
    <w:basedOn w:val="Affiliation"/>
    <w:next w:val="Abstract"/>
    <w:qFormat/>
    <w:rsid w:val="000C73AA"/>
  </w:style>
  <w:style w:type="paragraph" w:customStyle="1" w:styleId="Abstract">
    <w:name w:val="Abstract"/>
    <w:basedOn w:val="Normal"/>
    <w:next w:val="Keywords"/>
    <w:qFormat/>
    <w:rsid w:val="000C73AA"/>
    <w:pPr>
      <w:spacing w:before="360" w:after="300" w:line="360" w:lineRule="auto"/>
      <w:ind w:left="720" w:right="567"/>
      <w:contextualSpacing/>
    </w:pPr>
    <w:rPr>
      <w:sz w:val="22"/>
    </w:rPr>
  </w:style>
  <w:style w:type="paragraph" w:customStyle="1" w:styleId="Keywords">
    <w:name w:val="Keywords"/>
    <w:basedOn w:val="Normal"/>
    <w:next w:val="Paragraph"/>
    <w:qFormat/>
    <w:rsid w:val="000C73AA"/>
    <w:pPr>
      <w:spacing w:before="240" w:after="240" w:line="360" w:lineRule="auto"/>
      <w:ind w:left="720" w:right="567"/>
    </w:pPr>
    <w:rPr>
      <w:sz w:val="22"/>
    </w:rPr>
  </w:style>
  <w:style w:type="paragraph" w:customStyle="1" w:styleId="Correspondencedetails">
    <w:name w:val="Correspondence details"/>
    <w:basedOn w:val="Normal"/>
    <w:qFormat/>
    <w:rsid w:val="000C73AA"/>
    <w:pPr>
      <w:spacing w:before="240" w:line="360" w:lineRule="auto"/>
    </w:pPr>
  </w:style>
  <w:style w:type="paragraph" w:customStyle="1" w:styleId="Displayedquotation">
    <w:name w:val="Displayed quotation"/>
    <w:basedOn w:val="Normal"/>
    <w:qFormat/>
    <w:rsid w:val="000C73AA"/>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0C73AA"/>
    <w:pPr>
      <w:widowControl/>
      <w:numPr>
        <w:numId w:val="13"/>
      </w:numPr>
      <w:spacing w:after="240"/>
      <w:contextualSpacing/>
    </w:pPr>
  </w:style>
  <w:style w:type="paragraph" w:customStyle="1" w:styleId="Displayedequation">
    <w:name w:val="Displayed equation"/>
    <w:basedOn w:val="Normal"/>
    <w:next w:val="Paragraph"/>
    <w:qFormat/>
    <w:rsid w:val="000C73AA"/>
    <w:pPr>
      <w:tabs>
        <w:tab w:val="center" w:pos="4253"/>
        <w:tab w:val="right" w:pos="8222"/>
      </w:tabs>
      <w:spacing w:before="240" w:after="240"/>
      <w:jc w:val="center"/>
    </w:pPr>
  </w:style>
  <w:style w:type="paragraph" w:customStyle="1" w:styleId="Acknowledgements">
    <w:name w:val="Acknowledgements"/>
    <w:basedOn w:val="Normal"/>
    <w:next w:val="Normal"/>
    <w:qFormat/>
    <w:rsid w:val="000C73AA"/>
    <w:pPr>
      <w:spacing w:before="120" w:line="360" w:lineRule="auto"/>
    </w:pPr>
    <w:rPr>
      <w:sz w:val="22"/>
    </w:rPr>
  </w:style>
  <w:style w:type="paragraph" w:customStyle="1" w:styleId="Tabletitle">
    <w:name w:val="Table title"/>
    <w:basedOn w:val="Normal"/>
    <w:next w:val="Normal"/>
    <w:qFormat/>
    <w:rsid w:val="000C73AA"/>
    <w:pPr>
      <w:spacing w:before="240" w:line="360" w:lineRule="auto"/>
    </w:pPr>
  </w:style>
  <w:style w:type="paragraph" w:customStyle="1" w:styleId="Figurecaption">
    <w:name w:val="Figure caption"/>
    <w:basedOn w:val="Normal"/>
    <w:next w:val="Normal"/>
    <w:qFormat/>
    <w:rsid w:val="000C73AA"/>
    <w:pPr>
      <w:spacing w:before="240" w:line="360" w:lineRule="auto"/>
    </w:pPr>
  </w:style>
  <w:style w:type="paragraph" w:customStyle="1" w:styleId="Footnotes">
    <w:name w:val="Footnotes"/>
    <w:basedOn w:val="Normal"/>
    <w:qFormat/>
    <w:rsid w:val="000C73AA"/>
    <w:pPr>
      <w:spacing w:before="120" w:line="360" w:lineRule="auto"/>
      <w:ind w:left="482" w:hanging="482"/>
      <w:contextualSpacing/>
    </w:pPr>
    <w:rPr>
      <w:sz w:val="22"/>
    </w:rPr>
  </w:style>
  <w:style w:type="paragraph" w:customStyle="1" w:styleId="Notesoncontributors">
    <w:name w:val="Notes on contributors"/>
    <w:basedOn w:val="Normal"/>
    <w:qFormat/>
    <w:rsid w:val="000C73AA"/>
    <w:pPr>
      <w:spacing w:before="240" w:line="360" w:lineRule="auto"/>
    </w:pPr>
    <w:rPr>
      <w:sz w:val="22"/>
    </w:rPr>
  </w:style>
  <w:style w:type="paragraph" w:customStyle="1" w:styleId="Normalparagraphstyle">
    <w:name w:val="Normal paragraph style"/>
    <w:basedOn w:val="Normal"/>
    <w:next w:val="Normal"/>
    <w:rsid w:val="000C73AA"/>
  </w:style>
  <w:style w:type="paragraph" w:customStyle="1" w:styleId="Paragraph">
    <w:name w:val="Paragraph"/>
    <w:basedOn w:val="Normal"/>
    <w:next w:val="Newparagraph"/>
    <w:qFormat/>
    <w:rsid w:val="000C73AA"/>
    <w:pPr>
      <w:widowControl w:val="0"/>
      <w:spacing w:before="240"/>
    </w:pPr>
  </w:style>
  <w:style w:type="paragraph" w:customStyle="1" w:styleId="Newparagraph">
    <w:name w:val="New paragraph"/>
    <w:basedOn w:val="Normal"/>
    <w:qFormat/>
    <w:rsid w:val="000C73AA"/>
    <w:pPr>
      <w:ind w:firstLine="720"/>
    </w:pPr>
  </w:style>
  <w:style w:type="paragraph" w:styleId="NormalIndent">
    <w:name w:val="Normal Indent"/>
    <w:basedOn w:val="Normal"/>
    <w:rsid w:val="000C73AA"/>
    <w:pPr>
      <w:ind w:left="720"/>
    </w:pPr>
  </w:style>
  <w:style w:type="paragraph" w:customStyle="1" w:styleId="References">
    <w:name w:val="References"/>
    <w:basedOn w:val="Normal"/>
    <w:qFormat/>
    <w:rsid w:val="000C73AA"/>
    <w:pPr>
      <w:spacing w:before="120" w:line="360" w:lineRule="auto"/>
      <w:ind w:left="720" w:hanging="720"/>
      <w:contextualSpacing/>
    </w:pPr>
  </w:style>
  <w:style w:type="paragraph" w:customStyle="1" w:styleId="Subjectcodes">
    <w:name w:val="Subject codes"/>
    <w:basedOn w:val="Keywords"/>
    <w:next w:val="Paragraph"/>
    <w:qFormat/>
    <w:rsid w:val="000C73AA"/>
  </w:style>
  <w:style w:type="character" w:customStyle="1" w:styleId="Heading2Char">
    <w:name w:val="Heading 2 Char"/>
    <w:basedOn w:val="DefaultParagraphFont"/>
    <w:link w:val="Heading2"/>
    <w:rsid w:val="000C73AA"/>
    <w:rPr>
      <w:rFonts w:cs="Arial"/>
      <w:b/>
      <w:bCs/>
      <w:i/>
      <w:iCs/>
      <w:sz w:val="24"/>
      <w:szCs w:val="28"/>
    </w:rPr>
  </w:style>
  <w:style w:type="character" w:customStyle="1" w:styleId="Heading1Char">
    <w:name w:val="Heading 1 Char"/>
    <w:basedOn w:val="DefaultParagraphFont"/>
    <w:link w:val="Heading1"/>
    <w:rsid w:val="000C73AA"/>
    <w:rPr>
      <w:rFonts w:cs="Arial"/>
      <w:b/>
      <w:bCs/>
      <w:kern w:val="32"/>
      <w:sz w:val="24"/>
      <w:szCs w:val="32"/>
    </w:rPr>
  </w:style>
  <w:style w:type="character" w:customStyle="1" w:styleId="Heading3Char">
    <w:name w:val="Heading 3 Char"/>
    <w:basedOn w:val="DefaultParagraphFont"/>
    <w:link w:val="Heading3"/>
    <w:rsid w:val="000C73AA"/>
    <w:rPr>
      <w:rFonts w:cs="Arial"/>
      <w:bCs/>
      <w:i/>
      <w:sz w:val="24"/>
      <w:szCs w:val="26"/>
    </w:rPr>
  </w:style>
  <w:style w:type="paragraph" w:customStyle="1" w:styleId="Bulletedlist">
    <w:name w:val="Bulleted list"/>
    <w:basedOn w:val="Paragraph"/>
    <w:next w:val="Paragraph"/>
    <w:qFormat/>
    <w:rsid w:val="000C73AA"/>
    <w:pPr>
      <w:widowControl/>
      <w:numPr>
        <w:numId w:val="14"/>
      </w:numPr>
      <w:spacing w:after="240"/>
      <w:contextualSpacing/>
    </w:pPr>
  </w:style>
  <w:style w:type="paragraph" w:styleId="FootnoteText">
    <w:name w:val="footnote text"/>
    <w:basedOn w:val="Normal"/>
    <w:link w:val="FootnoteTextChar"/>
    <w:autoRedefine/>
    <w:rsid w:val="000C73AA"/>
    <w:pPr>
      <w:ind w:left="284" w:hanging="284"/>
    </w:pPr>
    <w:rPr>
      <w:sz w:val="22"/>
      <w:szCs w:val="20"/>
    </w:rPr>
  </w:style>
  <w:style w:type="character" w:customStyle="1" w:styleId="FootnoteTextChar">
    <w:name w:val="Footnote Text Char"/>
    <w:basedOn w:val="DefaultParagraphFont"/>
    <w:link w:val="FootnoteText"/>
    <w:rsid w:val="000C73AA"/>
    <w:rPr>
      <w:sz w:val="22"/>
    </w:rPr>
  </w:style>
  <w:style w:type="character" w:styleId="FootnoteReference">
    <w:name w:val="footnote reference"/>
    <w:basedOn w:val="DefaultParagraphFont"/>
    <w:rsid w:val="000C73AA"/>
    <w:rPr>
      <w:vertAlign w:val="superscript"/>
    </w:rPr>
  </w:style>
  <w:style w:type="paragraph" w:styleId="EndnoteText">
    <w:name w:val="endnote text"/>
    <w:basedOn w:val="Normal"/>
    <w:link w:val="EndnoteTextChar"/>
    <w:autoRedefine/>
    <w:rsid w:val="000C73AA"/>
    <w:pPr>
      <w:ind w:left="284" w:hanging="284"/>
    </w:pPr>
    <w:rPr>
      <w:sz w:val="22"/>
      <w:szCs w:val="20"/>
    </w:rPr>
  </w:style>
  <w:style w:type="character" w:customStyle="1" w:styleId="EndnoteTextChar">
    <w:name w:val="Endnote Text Char"/>
    <w:basedOn w:val="DefaultParagraphFont"/>
    <w:link w:val="EndnoteText"/>
    <w:rsid w:val="000C73AA"/>
    <w:rPr>
      <w:sz w:val="22"/>
    </w:rPr>
  </w:style>
  <w:style w:type="character" w:styleId="EndnoteReference">
    <w:name w:val="endnote reference"/>
    <w:basedOn w:val="DefaultParagraphFont"/>
    <w:rsid w:val="000C73AA"/>
    <w:rPr>
      <w:vertAlign w:val="superscript"/>
    </w:rPr>
  </w:style>
  <w:style w:type="character" w:customStyle="1" w:styleId="Heading4Char">
    <w:name w:val="Heading 4 Char"/>
    <w:basedOn w:val="DefaultParagraphFont"/>
    <w:link w:val="Heading4"/>
    <w:rsid w:val="000C73AA"/>
    <w:rPr>
      <w:bCs/>
      <w:sz w:val="24"/>
      <w:szCs w:val="28"/>
    </w:rPr>
  </w:style>
  <w:style w:type="paragraph" w:styleId="Header">
    <w:name w:val="header"/>
    <w:basedOn w:val="Normal"/>
    <w:link w:val="HeaderChar"/>
    <w:rsid w:val="000C73AA"/>
    <w:pPr>
      <w:tabs>
        <w:tab w:val="center" w:pos="4320"/>
        <w:tab w:val="right" w:pos="8640"/>
      </w:tabs>
      <w:spacing w:line="240" w:lineRule="auto"/>
    </w:pPr>
  </w:style>
  <w:style w:type="character" w:customStyle="1" w:styleId="HeaderChar">
    <w:name w:val="Header Char"/>
    <w:basedOn w:val="DefaultParagraphFont"/>
    <w:link w:val="Header"/>
    <w:rsid w:val="000C73AA"/>
    <w:rPr>
      <w:sz w:val="24"/>
      <w:szCs w:val="24"/>
    </w:rPr>
  </w:style>
  <w:style w:type="paragraph" w:styleId="Footer">
    <w:name w:val="footer"/>
    <w:basedOn w:val="Normal"/>
    <w:link w:val="FooterChar"/>
    <w:rsid w:val="000C73AA"/>
    <w:pPr>
      <w:tabs>
        <w:tab w:val="center" w:pos="4320"/>
        <w:tab w:val="right" w:pos="8640"/>
      </w:tabs>
      <w:spacing w:line="240" w:lineRule="auto"/>
    </w:pPr>
  </w:style>
  <w:style w:type="character" w:customStyle="1" w:styleId="FooterChar">
    <w:name w:val="Footer Char"/>
    <w:basedOn w:val="DefaultParagraphFont"/>
    <w:link w:val="Footer"/>
    <w:rsid w:val="000C73AA"/>
    <w:rPr>
      <w:sz w:val="24"/>
      <w:szCs w:val="24"/>
    </w:rPr>
  </w:style>
  <w:style w:type="paragraph" w:customStyle="1" w:styleId="Heading4Paragraph">
    <w:name w:val="Heading 4 + Paragraph"/>
    <w:basedOn w:val="Paragraph"/>
    <w:next w:val="Newparagraph"/>
    <w:qFormat/>
    <w:rsid w:val="000C73AA"/>
    <w:pPr>
      <w:widowControl/>
      <w:spacing w:before="360"/>
    </w:pPr>
  </w:style>
  <w:style w:type="paragraph" w:styleId="BalloonText">
    <w:name w:val="Balloon Text"/>
    <w:basedOn w:val="Normal"/>
    <w:link w:val="BalloonTextChar"/>
    <w:semiHidden/>
    <w:unhideWhenUsed/>
    <w:rsid w:val="0082638A"/>
    <w:pPr>
      <w:spacing w:line="240" w:lineRule="auto"/>
    </w:pPr>
    <w:rPr>
      <w:sz w:val="18"/>
      <w:szCs w:val="18"/>
    </w:rPr>
  </w:style>
  <w:style w:type="character" w:customStyle="1" w:styleId="BalloonTextChar">
    <w:name w:val="Balloon Text Char"/>
    <w:basedOn w:val="DefaultParagraphFont"/>
    <w:link w:val="BalloonText"/>
    <w:semiHidden/>
    <w:rsid w:val="0082638A"/>
    <w:rPr>
      <w:sz w:val="18"/>
      <w:szCs w:val="18"/>
    </w:rPr>
  </w:style>
  <w:style w:type="character" w:styleId="PlaceholderText">
    <w:name w:val="Placeholder Text"/>
    <w:basedOn w:val="DefaultParagraphFont"/>
    <w:semiHidden/>
    <w:rsid w:val="00655A63"/>
    <w:rPr>
      <w:color w:val="808080"/>
    </w:rPr>
  </w:style>
  <w:style w:type="table" w:styleId="TableGrid">
    <w:name w:val="Table Grid"/>
    <w:basedOn w:val="TableNormal"/>
    <w:rsid w:val="003B3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nhideWhenUsed/>
    <w:rsid w:val="00FB4A97"/>
  </w:style>
  <w:style w:type="character" w:styleId="Hyperlink">
    <w:name w:val="Hyperlink"/>
    <w:basedOn w:val="DefaultParagraphFont"/>
    <w:unhideWhenUsed/>
    <w:rsid w:val="00AE443B"/>
    <w:rPr>
      <w:color w:val="0000FF" w:themeColor="hyperlink"/>
      <w:u w:val="single"/>
    </w:rPr>
  </w:style>
  <w:style w:type="character" w:styleId="UnresolvedMention">
    <w:name w:val="Unresolved Mention"/>
    <w:basedOn w:val="DefaultParagraphFont"/>
    <w:uiPriority w:val="99"/>
    <w:semiHidden/>
    <w:unhideWhenUsed/>
    <w:rsid w:val="00AE443B"/>
    <w:rPr>
      <w:color w:val="605E5C"/>
      <w:shd w:val="clear" w:color="auto" w:fill="E1DFDD"/>
    </w:rPr>
  </w:style>
  <w:style w:type="table" w:styleId="PlainTable4">
    <w:name w:val="Plain Table 4"/>
    <w:basedOn w:val="TableNormal"/>
    <w:rsid w:val="004730E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semiHidden/>
    <w:rsid w:val="005F5D26"/>
    <w:rPr>
      <w:sz w:val="24"/>
      <w:szCs w:val="24"/>
    </w:rPr>
  </w:style>
  <w:style w:type="paragraph" w:styleId="HTMLPreformatted">
    <w:name w:val="HTML Preformatted"/>
    <w:basedOn w:val="Normal"/>
    <w:link w:val="HTMLPreformattedChar"/>
    <w:uiPriority w:val="99"/>
    <w:unhideWhenUsed/>
    <w:rsid w:val="00D24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D24E65"/>
    <w:rPr>
      <w:rFonts w:ascii="Courier New" w:hAnsi="Courier New" w:cs="Courier New"/>
      <w:lang w:val="en-US" w:eastAsia="en-US"/>
    </w:rPr>
  </w:style>
  <w:style w:type="character" w:styleId="CommentReference">
    <w:name w:val="annotation reference"/>
    <w:basedOn w:val="DefaultParagraphFont"/>
    <w:uiPriority w:val="99"/>
    <w:semiHidden/>
    <w:unhideWhenUsed/>
    <w:rsid w:val="0018476D"/>
    <w:rPr>
      <w:sz w:val="16"/>
      <w:szCs w:val="16"/>
    </w:rPr>
  </w:style>
  <w:style w:type="paragraph" w:styleId="CommentText">
    <w:name w:val="annotation text"/>
    <w:basedOn w:val="Normal"/>
    <w:link w:val="CommentTextChar"/>
    <w:uiPriority w:val="99"/>
    <w:semiHidden/>
    <w:unhideWhenUsed/>
    <w:rsid w:val="0018476D"/>
    <w:pPr>
      <w:spacing w:line="240" w:lineRule="auto"/>
    </w:pPr>
    <w:rPr>
      <w:rFonts w:ascii="Arial" w:eastAsia="Arial" w:hAnsi="Arial" w:cs="Arial"/>
      <w:sz w:val="20"/>
      <w:szCs w:val="20"/>
      <w:lang w:val="en" w:eastAsia="en-US"/>
    </w:rPr>
  </w:style>
  <w:style w:type="character" w:customStyle="1" w:styleId="CommentTextChar">
    <w:name w:val="Comment Text Char"/>
    <w:basedOn w:val="DefaultParagraphFont"/>
    <w:link w:val="CommentText"/>
    <w:uiPriority w:val="99"/>
    <w:semiHidden/>
    <w:rsid w:val="0018476D"/>
    <w:rPr>
      <w:rFonts w:ascii="Arial" w:eastAsia="Arial" w:hAnsi="Arial" w:cs="Arial"/>
      <w:lang w:val="e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970814">
      <w:bodyDiv w:val="1"/>
      <w:marLeft w:val="0"/>
      <w:marRight w:val="0"/>
      <w:marTop w:val="0"/>
      <w:marBottom w:val="0"/>
      <w:divBdr>
        <w:top w:val="none" w:sz="0" w:space="0" w:color="auto"/>
        <w:left w:val="none" w:sz="0" w:space="0" w:color="auto"/>
        <w:bottom w:val="none" w:sz="0" w:space="0" w:color="auto"/>
        <w:right w:val="none" w:sz="0" w:space="0" w:color="auto"/>
      </w:divBdr>
    </w:div>
    <w:div w:id="83428405">
      <w:bodyDiv w:val="1"/>
      <w:marLeft w:val="0"/>
      <w:marRight w:val="0"/>
      <w:marTop w:val="0"/>
      <w:marBottom w:val="0"/>
      <w:divBdr>
        <w:top w:val="none" w:sz="0" w:space="0" w:color="auto"/>
        <w:left w:val="none" w:sz="0" w:space="0" w:color="auto"/>
        <w:bottom w:val="none" w:sz="0" w:space="0" w:color="auto"/>
        <w:right w:val="none" w:sz="0" w:space="0" w:color="auto"/>
      </w:divBdr>
    </w:div>
    <w:div w:id="86077578">
      <w:bodyDiv w:val="1"/>
      <w:marLeft w:val="0"/>
      <w:marRight w:val="0"/>
      <w:marTop w:val="0"/>
      <w:marBottom w:val="0"/>
      <w:divBdr>
        <w:top w:val="none" w:sz="0" w:space="0" w:color="auto"/>
        <w:left w:val="none" w:sz="0" w:space="0" w:color="auto"/>
        <w:bottom w:val="none" w:sz="0" w:space="0" w:color="auto"/>
        <w:right w:val="none" w:sz="0" w:space="0" w:color="auto"/>
      </w:divBdr>
    </w:div>
    <w:div w:id="230115370">
      <w:bodyDiv w:val="1"/>
      <w:marLeft w:val="0"/>
      <w:marRight w:val="0"/>
      <w:marTop w:val="0"/>
      <w:marBottom w:val="0"/>
      <w:divBdr>
        <w:top w:val="none" w:sz="0" w:space="0" w:color="auto"/>
        <w:left w:val="none" w:sz="0" w:space="0" w:color="auto"/>
        <w:bottom w:val="none" w:sz="0" w:space="0" w:color="auto"/>
        <w:right w:val="none" w:sz="0" w:space="0" w:color="auto"/>
      </w:divBdr>
    </w:div>
    <w:div w:id="320931580">
      <w:bodyDiv w:val="1"/>
      <w:marLeft w:val="0"/>
      <w:marRight w:val="0"/>
      <w:marTop w:val="0"/>
      <w:marBottom w:val="0"/>
      <w:divBdr>
        <w:top w:val="none" w:sz="0" w:space="0" w:color="auto"/>
        <w:left w:val="none" w:sz="0" w:space="0" w:color="auto"/>
        <w:bottom w:val="none" w:sz="0" w:space="0" w:color="auto"/>
        <w:right w:val="none" w:sz="0" w:space="0" w:color="auto"/>
      </w:divBdr>
    </w:div>
    <w:div w:id="355274742">
      <w:bodyDiv w:val="1"/>
      <w:marLeft w:val="0"/>
      <w:marRight w:val="0"/>
      <w:marTop w:val="0"/>
      <w:marBottom w:val="0"/>
      <w:divBdr>
        <w:top w:val="none" w:sz="0" w:space="0" w:color="auto"/>
        <w:left w:val="none" w:sz="0" w:space="0" w:color="auto"/>
        <w:bottom w:val="none" w:sz="0" w:space="0" w:color="auto"/>
        <w:right w:val="none" w:sz="0" w:space="0" w:color="auto"/>
      </w:divBdr>
    </w:div>
    <w:div w:id="386224059">
      <w:bodyDiv w:val="1"/>
      <w:marLeft w:val="0"/>
      <w:marRight w:val="0"/>
      <w:marTop w:val="0"/>
      <w:marBottom w:val="0"/>
      <w:divBdr>
        <w:top w:val="none" w:sz="0" w:space="0" w:color="auto"/>
        <w:left w:val="none" w:sz="0" w:space="0" w:color="auto"/>
        <w:bottom w:val="none" w:sz="0" w:space="0" w:color="auto"/>
        <w:right w:val="none" w:sz="0" w:space="0" w:color="auto"/>
      </w:divBdr>
    </w:div>
    <w:div w:id="401098631">
      <w:bodyDiv w:val="1"/>
      <w:marLeft w:val="0"/>
      <w:marRight w:val="0"/>
      <w:marTop w:val="0"/>
      <w:marBottom w:val="0"/>
      <w:divBdr>
        <w:top w:val="none" w:sz="0" w:space="0" w:color="auto"/>
        <w:left w:val="none" w:sz="0" w:space="0" w:color="auto"/>
        <w:bottom w:val="none" w:sz="0" w:space="0" w:color="auto"/>
        <w:right w:val="none" w:sz="0" w:space="0" w:color="auto"/>
      </w:divBdr>
    </w:div>
    <w:div w:id="530916017">
      <w:bodyDiv w:val="1"/>
      <w:marLeft w:val="0"/>
      <w:marRight w:val="0"/>
      <w:marTop w:val="0"/>
      <w:marBottom w:val="0"/>
      <w:divBdr>
        <w:top w:val="none" w:sz="0" w:space="0" w:color="auto"/>
        <w:left w:val="none" w:sz="0" w:space="0" w:color="auto"/>
        <w:bottom w:val="none" w:sz="0" w:space="0" w:color="auto"/>
        <w:right w:val="none" w:sz="0" w:space="0" w:color="auto"/>
      </w:divBdr>
    </w:div>
    <w:div w:id="546182645">
      <w:bodyDiv w:val="1"/>
      <w:marLeft w:val="0"/>
      <w:marRight w:val="0"/>
      <w:marTop w:val="0"/>
      <w:marBottom w:val="0"/>
      <w:divBdr>
        <w:top w:val="none" w:sz="0" w:space="0" w:color="auto"/>
        <w:left w:val="none" w:sz="0" w:space="0" w:color="auto"/>
        <w:bottom w:val="none" w:sz="0" w:space="0" w:color="auto"/>
        <w:right w:val="none" w:sz="0" w:space="0" w:color="auto"/>
      </w:divBdr>
    </w:div>
    <w:div w:id="707491872">
      <w:bodyDiv w:val="1"/>
      <w:marLeft w:val="0"/>
      <w:marRight w:val="0"/>
      <w:marTop w:val="0"/>
      <w:marBottom w:val="0"/>
      <w:divBdr>
        <w:top w:val="none" w:sz="0" w:space="0" w:color="auto"/>
        <w:left w:val="none" w:sz="0" w:space="0" w:color="auto"/>
        <w:bottom w:val="none" w:sz="0" w:space="0" w:color="auto"/>
        <w:right w:val="none" w:sz="0" w:space="0" w:color="auto"/>
      </w:divBdr>
    </w:div>
    <w:div w:id="721755353">
      <w:bodyDiv w:val="1"/>
      <w:marLeft w:val="0"/>
      <w:marRight w:val="0"/>
      <w:marTop w:val="0"/>
      <w:marBottom w:val="0"/>
      <w:divBdr>
        <w:top w:val="none" w:sz="0" w:space="0" w:color="auto"/>
        <w:left w:val="none" w:sz="0" w:space="0" w:color="auto"/>
        <w:bottom w:val="none" w:sz="0" w:space="0" w:color="auto"/>
        <w:right w:val="none" w:sz="0" w:space="0" w:color="auto"/>
      </w:divBdr>
    </w:div>
    <w:div w:id="730078502">
      <w:bodyDiv w:val="1"/>
      <w:marLeft w:val="0"/>
      <w:marRight w:val="0"/>
      <w:marTop w:val="0"/>
      <w:marBottom w:val="0"/>
      <w:divBdr>
        <w:top w:val="none" w:sz="0" w:space="0" w:color="auto"/>
        <w:left w:val="none" w:sz="0" w:space="0" w:color="auto"/>
        <w:bottom w:val="none" w:sz="0" w:space="0" w:color="auto"/>
        <w:right w:val="none" w:sz="0" w:space="0" w:color="auto"/>
      </w:divBdr>
    </w:div>
    <w:div w:id="756097819">
      <w:bodyDiv w:val="1"/>
      <w:marLeft w:val="0"/>
      <w:marRight w:val="0"/>
      <w:marTop w:val="0"/>
      <w:marBottom w:val="0"/>
      <w:divBdr>
        <w:top w:val="none" w:sz="0" w:space="0" w:color="auto"/>
        <w:left w:val="none" w:sz="0" w:space="0" w:color="auto"/>
        <w:bottom w:val="none" w:sz="0" w:space="0" w:color="auto"/>
        <w:right w:val="none" w:sz="0" w:space="0" w:color="auto"/>
      </w:divBdr>
    </w:div>
    <w:div w:id="819276213">
      <w:bodyDiv w:val="1"/>
      <w:marLeft w:val="0"/>
      <w:marRight w:val="0"/>
      <w:marTop w:val="0"/>
      <w:marBottom w:val="0"/>
      <w:divBdr>
        <w:top w:val="none" w:sz="0" w:space="0" w:color="auto"/>
        <w:left w:val="none" w:sz="0" w:space="0" w:color="auto"/>
        <w:bottom w:val="none" w:sz="0" w:space="0" w:color="auto"/>
        <w:right w:val="none" w:sz="0" w:space="0" w:color="auto"/>
      </w:divBdr>
    </w:div>
    <w:div w:id="876283734">
      <w:bodyDiv w:val="1"/>
      <w:marLeft w:val="0"/>
      <w:marRight w:val="0"/>
      <w:marTop w:val="0"/>
      <w:marBottom w:val="0"/>
      <w:divBdr>
        <w:top w:val="none" w:sz="0" w:space="0" w:color="auto"/>
        <w:left w:val="none" w:sz="0" w:space="0" w:color="auto"/>
        <w:bottom w:val="none" w:sz="0" w:space="0" w:color="auto"/>
        <w:right w:val="none" w:sz="0" w:space="0" w:color="auto"/>
      </w:divBdr>
    </w:div>
    <w:div w:id="909926053">
      <w:bodyDiv w:val="1"/>
      <w:marLeft w:val="0"/>
      <w:marRight w:val="0"/>
      <w:marTop w:val="0"/>
      <w:marBottom w:val="0"/>
      <w:divBdr>
        <w:top w:val="none" w:sz="0" w:space="0" w:color="auto"/>
        <w:left w:val="none" w:sz="0" w:space="0" w:color="auto"/>
        <w:bottom w:val="none" w:sz="0" w:space="0" w:color="auto"/>
        <w:right w:val="none" w:sz="0" w:space="0" w:color="auto"/>
      </w:divBdr>
    </w:div>
    <w:div w:id="961231696">
      <w:bodyDiv w:val="1"/>
      <w:marLeft w:val="0"/>
      <w:marRight w:val="0"/>
      <w:marTop w:val="0"/>
      <w:marBottom w:val="0"/>
      <w:divBdr>
        <w:top w:val="none" w:sz="0" w:space="0" w:color="auto"/>
        <w:left w:val="none" w:sz="0" w:space="0" w:color="auto"/>
        <w:bottom w:val="none" w:sz="0" w:space="0" w:color="auto"/>
        <w:right w:val="none" w:sz="0" w:space="0" w:color="auto"/>
      </w:divBdr>
    </w:div>
    <w:div w:id="1003631179">
      <w:bodyDiv w:val="1"/>
      <w:marLeft w:val="0"/>
      <w:marRight w:val="0"/>
      <w:marTop w:val="0"/>
      <w:marBottom w:val="0"/>
      <w:divBdr>
        <w:top w:val="none" w:sz="0" w:space="0" w:color="auto"/>
        <w:left w:val="none" w:sz="0" w:space="0" w:color="auto"/>
        <w:bottom w:val="none" w:sz="0" w:space="0" w:color="auto"/>
        <w:right w:val="none" w:sz="0" w:space="0" w:color="auto"/>
      </w:divBdr>
    </w:div>
    <w:div w:id="1073242090">
      <w:bodyDiv w:val="1"/>
      <w:marLeft w:val="0"/>
      <w:marRight w:val="0"/>
      <w:marTop w:val="0"/>
      <w:marBottom w:val="0"/>
      <w:divBdr>
        <w:top w:val="none" w:sz="0" w:space="0" w:color="auto"/>
        <w:left w:val="none" w:sz="0" w:space="0" w:color="auto"/>
        <w:bottom w:val="none" w:sz="0" w:space="0" w:color="auto"/>
        <w:right w:val="none" w:sz="0" w:space="0" w:color="auto"/>
      </w:divBdr>
    </w:div>
    <w:div w:id="1080565228">
      <w:bodyDiv w:val="1"/>
      <w:marLeft w:val="0"/>
      <w:marRight w:val="0"/>
      <w:marTop w:val="0"/>
      <w:marBottom w:val="0"/>
      <w:divBdr>
        <w:top w:val="none" w:sz="0" w:space="0" w:color="auto"/>
        <w:left w:val="none" w:sz="0" w:space="0" w:color="auto"/>
        <w:bottom w:val="none" w:sz="0" w:space="0" w:color="auto"/>
        <w:right w:val="none" w:sz="0" w:space="0" w:color="auto"/>
      </w:divBdr>
    </w:div>
    <w:div w:id="1092169659">
      <w:bodyDiv w:val="1"/>
      <w:marLeft w:val="0"/>
      <w:marRight w:val="0"/>
      <w:marTop w:val="0"/>
      <w:marBottom w:val="0"/>
      <w:divBdr>
        <w:top w:val="none" w:sz="0" w:space="0" w:color="auto"/>
        <w:left w:val="none" w:sz="0" w:space="0" w:color="auto"/>
        <w:bottom w:val="none" w:sz="0" w:space="0" w:color="auto"/>
        <w:right w:val="none" w:sz="0" w:space="0" w:color="auto"/>
      </w:divBdr>
    </w:div>
    <w:div w:id="1166432614">
      <w:bodyDiv w:val="1"/>
      <w:marLeft w:val="0"/>
      <w:marRight w:val="0"/>
      <w:marTop w:val="0"/>
      <w:marBottom w:val="0"/>
      <w:divBdr>
        <w:top w:val="none" w:sz="0" w:space="0" w:color="auto"/>
        <w:left w:val="none" w:sz="0" w:space="0" w:color="auto"/>
        <w:bottom w:val="none" w:sz="0" w:space="0" w:color="auto"/>
        <w:right w:val="none" w:sz="0" w:space="0" w:color="auto"/>
      </w:divBdr>
    </w:div>
    <w:div w:id="1174689015">
      <w:bodyDiv w:val="1"/>
      <w:marLeft w:val="0"/>
      <w:marRight w:val="0"/>
      <w:marTop w:val="0"/>
      <w:marBottom w:val="0"/>
      <w:divBdr>
        <w:top w:val="none" w:sz="0" w:space="0" w:color="auto"/>
        <w:left w:val="none" w:sz="0" w:space="0" w:color="auto"/>
        <w:bottom w:val="none" w:sz="0" w:space="0" w:color="auto"/>
        <w:right w:val="none" w:sz="0" w:space="0" w:color="auto"/>
      </w:divBdr>
    </w:div>
    <w:div w:id="1186557698">
      <w:bodyDiv w:val="1"/>
      <w:marLeft w:val="0"/>
      <w:marRight w:val="0"/>
      <w:marTop w:val="0"/>
      <w:marBottom w:val="0"/>
      <w:divBdr>
        <w:top w:val="none" w:sz="0" w:space="0" w:color="auto"/>
        <w:left w:val="none" w:sz="0" w:space="0" w:color="auto"/>
        <w:bottom w:val="none" w:sz="0" w:space="0" w:color="auto"/>
        <w:right w:val="none" w:sz="0" w:space="0" w:color="auto"/>
      </w:divBdr>
    </w:div>
    <w:div w:id="1236622153">
      <w:bodyDiv w:val="1"/>
      <w:marLeft w:val="0"/>
      <w:marRight w:val="0"/>
      <w:marTop w:val="0"/>
      <w:marBottom w:val="0"/>
      <w:divBdr>
        <w:top w:val="none" w:sz="0" w:space="0" w:color="auto"/>
        <w:left w:val="none" w:sz="0" w:space="0" w:color="auto"/>
        <w:bottom w:val="none" w:sz="0" w:space="0" w:color="auto"/>
        <w:right w:val="none" w:sz="0" w:space="0" w:color="auto"/>
      </w:divBdr>
    </w:div>
    <w:div w:id="1242830457">
      <w:bodyDiv w:val="1"/>
      <w:marLeft w:val="0"/>
      <w:marRight w:val="0"/>
      <w:marTop w:val="0"/>
      <w:marBottom w:val="0"/>
      <w:divBdr>
        <w:top w:val="none" w:sz="0" w:space="0" w:color="auto"/>
        <w:left w:val="none" w:sz="0" w:space="0" w:color="auto"/>
        <w:bottom w:val="none" w:sz="0" w:space="0" w:color="auto"/>
        <w:right w:val="none" w:sz="0" w:space="0" w:color="auto"/>
      </w:divBdr>
    </w:div>
    <w:div w:id="1265501392">
      <w:bodyDiv w:val="1"/>
      <w:marLeft w:val="0"/>
      <w:marRight w:val="0"/>
      <w:marTop w:val="0"/>
      <w:marBottom w:val="0"/>
      <w:divBdr>
        <w:top w:val="none" w:sz="0" w:space="0" w:color="auto"/>
        <w:left w:val="none" w:sz="0" w:space="0" w:color="auto"/>
        <w:bottom w:val="none" w:sz="0" w:space="0" w:color="auto"/>
        <w:right w:val="none" w:sz="0" w:space="0" w:color="auto"/>
      </w:divBdr>
    </w:div>
    <w:div w:id="1293318570">
      <w:bodyDiv w:val="1"/>
      <w:marLeft w:val="0"/>
      <w:marRight w:val="0"/>
      <w:marTop w:val="0"/>
      <w:marBottom w:val="0"/>
      <w:divBdr>
        <w:top w:val="none" w:sz="0" w:space="0" w:color="auto"/>
        <w:left w:val="none" w:sz="0" w:space="0" w:color="auto"/>
        <w:bottom w:val="none" w:sz="0" w:space="0" w:color="auto"/>
        <w:right w:val="none" w:sz="0" w:space="0" w:color="auto"/>
      </w:divBdr>
    </w:div>
    <w:div w:id="1338264459">
      <w:bodyDiv w:val="1"/>
      <w:marLeft w:val="0"/>
      <w:marRight w:val="0"/>
      <w:marTop w:val="0"/>
      <w:marBottom w:val="0"/>
      <w:divBdr>
        <w:top w:val="none" w:sz="0" w:space="0" w:color="auto"/>
        <w:left w:val="none" w:sz="0" w:space="0" w:color="auto"/>
        <w:bottom w:val="none" w:sz="0" w:space="0" w:color="auto"/>
        <w:right w:val="none" w:sz="0" w:space="0" w:color="auto"/>
      </w:divBdr>
    </w:div>
    <w:div w:id="1338576274">
      <w:bodyDiv w:val="1"/>
      <w:marLeft w:val="0"/>
      <w:marRight w:val="0"/>
      <w:marTop w:val="0"/>
      <w:marBottom w:val="0"/>
      <w:divBdr>
        <w:top w:val="none" w:sz="0" w:space="0" w:color="auto"/>
        <w:left w:val="none" w:sz="0" w:space="0" w:color="auto"/>
        <w:bottom w:val="none" w:sz="0" w:space="0" w:color="auto"/>
        <w:right w:val="none" w:sz="0" w:space="0" w:color="auto"/>
      </w:divBdr>
    </w:div>
    <w:div w:id="1372878447">
      <w:bodyDiv w:val="1"/>
      <w:marLeft w:val="0"/>
      <w:marRight w:val="0"/>
      <w:marTop w:val="0"/>
      <w:marBottom w:val="0"/>
      <w:divBdr>
        <w:top w:val="none" w:sz="0" w:space="0" w:color="auto"/>
        <w:left w:val="none" w:sz="0" w:space="0" w:color="auto"/>
        <w:bottom w:val="none" w:sz="0" w:space="0" w:color="auto"/>
        <w:right w:val="none" w:sz="0" w:space="0" w:color="auto"/>
      </w:divBdr>
    </w:div>
    <w:div w:id="1403867504">
      <w:bodyDiv w:val="1"/>
      <w:marLeft w:val="0"/>
      <w:marRight w:val="0"/>
      <w:marTop w:val="0"/>
      <w:marBottom w:val="0"/>
      <w:divBdr>
        <w:top w:val="none" w:sz="0" w:space="0" w:color="auto"/>
        <w:left w:val="none" w:sz="0" w:space="0" w:color="auto"/>
        <w:bottom w:val="none" w:sz="0" w:space="0" w:color="auto"/>
        <w:right w:val="none" w:sz="0" w:space="0" w:color="auto"/>
      </w:divBdr>
    </w:div>
    <w:div w:id="1422792796">
      <w:bodyDiv w:val="1"/>
      <w:marLeft w:val="0"/>
      <w:marRight w:val="0"/>
      <w:marTop w:val="0"/>
      <w:marBottom w:val="0"/>
      <w:divBdr>
        <w:top w:val="none" w:sz="0" w:space="0" w:color="auto"/>
        <w:left w:val="none" w:sz="0" w:space="0" w:color="auto"/>
        <w:bottom w:val="none" w:sz="0" w:space="0" w:color="auto"/>
        <w:right w:val="none" w:sz="0" w:space="0" w:color="auto"/>
      </w:divBdr>
    </w:div>
    <w:div w:id="1424104348">
      <w:bodyDiv w:val="1"/>
      <w:marLeft w:val="0"/>
      <w:marRight w:val="0"/>
      <w:marTop w:val="0"/>
      <w:marBottom w:val="0"/>
      <w:divBdr>
        <w:top w:val="none" w:sz="0" w:space="0" w:color="auto"/>
        <w:left w:val="none" w:sz="0" w:space="0" w:color="auto"/>
        <w:bottom w:val="none" w:sz="0" w:space="0" w:color="auto"/>
        <w:right w:val="none" w:sz="0" w:space="0" w:color="auto"/>
      </w:divBdr>
    </w:div>
    <w:div w:id="1493833087">
      <w:bodyDiv w:val="1"/>
      <w:marLeft w:val="0"/>
      <w:marRight w:val="0"/>
      <w:marTop w:val="0"/>
      <w:marBottom w:val="0"/>
      <w:divBdr>
        <w:top w:val="none" w:sz="0" w:space="0" w:color="auto"/>
        <w:left w:val="none" w:sz="0" w:space="0" w:color="auto"/>
        <w:bottom w:val="none" w:sz="0" w:space="0" w:color="auto"/>
        <w:right w:val="none" w:sz="0" w:space="0" w:color="auto"/>
      </w:divBdr>
    </w:div>
    <w:div w:id="1504009136">
      <w:bodyDiv w:val="1"/>
      <w:marLeft w:val="0"/>
      <w:marRight w:val="0"/>
      <w:marTop w:val="0"/>
      <w:marBottom w:val="0"/>
      <w:divBdr>
        <w:top w:val="none" w:sz="0" w:space="0" w:color="auto"/>
        <w:left w:val="none" w:sz="0" w:space="0" w:color="auto"/>
        <w:bottom w:val="none" w:sz="0" w:space="0" w:color="auto"/>
        <w:right w:val="none" w:sz="0" w:space="0" w:color="auto"/>
      </w:divBdr>
    </w:div>
    <w:div w:id="1572428741">
      <w:bodyDiv w:val="1"/>
      <w:marLeft w:val="0"/>
      <w:marRight w:val="0"/>
      <w:marTop w:val="0"/>
      <w:marBottom w:val="0"/>
      <w:divBdr>
        <w:top w:val="none" w:sz="0" w:space="0" w:color="auto"/>
        <w:left w:val="none" w:sz="0" w:space="0" w:color="auto"/>
        <w:bottom w:val="none" w:sz="0" w:space="0" w:color="auto"/>
        <w:right w:val="none" w:sz="0" w:space="0" w:color="auto"/>
      </w:divBdr>
    </w:div>
    <w:div w:id="1574588647">
      <w:bodyDiv w:val="1"/>
      <w:marLeft w:val="0"/>
      <w:marRight w:val="0"/>
      <w:marTop w:val="0"/>
      <w:marBottom w:val="0"/>
      <w:divBdr>
        <w:top w:val="none" w:sz="0" w:space="0" w:color="auto"/>
        <w:left w:val="none" w:sz="0" w:space="0" w:color="auto"/>
        <w:bottom w:val="none" w:sz="0" w:space="0" w:color="auto"/>
        <w:right w:val="none" w:sz="0" w:space="0" w:color="auto"/>
      </w:divBdr>
    </w:div>
    <w:div w:id="1655449051">
      <w:bodyDiv w:val="1"/>
      <w:marLeft w:val="0"/>
      <w:marRight w:val="0"/>
      <w:marTop w:val="0"/>
      <w:marBottom w:val="0"/>
      <w:divBdr>
        <w:top w:val="none" w:sz="0" w:space="0" w:color="auto"/>
        <w:left w:val="none" w:sz="0" w:space="0" w:color="auto"/>
        <w:bottom w:val="none" w:sz="0" w:space="0" w:color="auto"/>
        <w:right w:val="none" w:sz="0" w:space="0" w:color="auto"/>
      </w:divBdr>
    </w:div>
    <w:div w:id="1707752574">
      <w:bodyDiv w:val="1"/>
      <w:marLeft w:val="0"/>
      <w:marRight w:val="0"/>
      <w:marTop w:val="0"/>
      <w:marBottom w:val="0"/>
      <w:divBdr>
        <w:top w:val="none" w:sz="0" w:space="0" w:color="auto"/>
        <w:left w:val="none" w:sz="0" w:space="0" w:color="auto"/>
        <w:bottom w:val="none" w:sz="0" w:space="0" w:color="auto"/>
        <w:right w:val="none" w:sz="0" w:space="0" w:color="auto"/>
      </w:divBdr>
    </w:div>
    <w:div w:id="1746369574">
      <w:bodyDiv w:val="1"/>
      <w:marLeft w:val="0"/>
      <w:marRight w:val="0"/>
      <w:marTop w:val="0"/>
      <w:marBottom w:val="0"/>
      <w:divBdr>
        <w:top w:val="none" w:sz="0" w:space="0" w:color="auto"/>
        <w:left w:val="none" w:sz="0" w:space="0" w:color="auto"/>
        <w:bottom w:val="none" w:sz="0" w:space="0" w:color="auto"/>
        <w:right w:val="none" w:sz="0" w:space="0" w:color="auto"/>
      </w:divBdr>
    </w:div>
    <w:div w:id="1764495212">
      <w:bodyDiv w:val="1"/>
      <w:marLeft w:val="0"/>
      <w:marRight w:val="0"/>
      <w:marTop w:val="0"/>
      <w:marBottom w:val="0"/>
      <w:divBdr>
        <w:top w:val="none" w:sz="0" w:space="0" w:color="auto"/>
        <w:left w:val="none" w:sz="0" w:space="0" w:color="auto"/>
        <w:bottom w:val="none" w:sz="0" w:space="0" w:color="auto"/>
        <w:right w:val="none" w:sz="0" w:space="0" w:color="auto"/>
      </w:divBdr>
    </w:div>
    <w:div w:id="1875463234">
      <w:bodyDiv w:val="1"/>
      <w:marLeft w:val="0"/>
      <w:marRight w:val="0"/>
      <w:marTop w:val="0"/>
      <w:marBottom w:val="0"/>
      <w:divBdr>
        <w:top w:val="none" w:sz="0" w:space="0" w:color="auto"/>
        <w:left w:val="none" w:sz="0" w:space="0" w:color="auto"/>
        <w:bottom w:val="none" w:sz="0" w:space="0" w:color="auto"/>
        <w:right w:val="none" w:sz="0" w:space="0" w:color="auto"/>
      </w:divBdr>
    </w:div>
    <w:div w:id="1883663827">
      <w:bodyDiv w:val="1"/>
      <w:marLeft w:val="0"/>
      <w:marRight w:val="0"/>
      <w:marTop w:val="0"/>
      <w:marBottom w:val="0"/>
      <w:divBdr>
        <w:top w:val="none" w:sz="0" w:space="0" w:color="auto"/>
        <w:left w:val="none" w:sz="0" w:space="0" w:color="auto"/>
        <w:bottom w:val="none" w:sz="0" w:space="0" w:color="auto"/>
        <w:right w:val="none" w:sz="0" w:space="0" w:color="auto"/>
      </w:divBdr>
    </w:div>
    <w:div w:id="1885829316">
      <w:bodyDiv w:val="1"/>
      <w:marLeft w:val="0"/>
      <w:marRight w:val="0"/>
      <w:marTop w:val="0"/>
      <w:marBottom w:val="0"/>
      <w:divBdr>
        <w:top w:val="none" w:sz="0" w:space="0" w:color="auto"/>
        <w:left w:val="none" w:sz="0" w:space="0" w:color="auto"/>
        <w:bottom w:val="none" w:sz="0" w:space="0" w:color="auto"/>
        <w:right w:val="none" w:sz="0" w:space="0" w:color="auto"/>
      </w:divBdr>
    </w:div>
    <w:div w:id="1960867210">
      <w:bodyDiv w:val="1"/>
      <w:marLeft w:val="0"/>
      <w:marRight w:val="0"/>
      <w:marTop w:val="0"/>
      <w:marBottom w:val="0"/>
      <w:divBdr>
        <w:top w:val="none" w:sz="0" w:space="0" w:color="auto"/>
        <w:left w:val="none" w:sz="0" w:space="0" w:color="auto"/>
        <w:bottom w:val="none" w:sz="0" w:space="0" w:color="auto"/>
        <w:right w:val="none" w:sz="0" w:space="0" w:color="auto"/>
      </w:divBdr>
    </w:div>
    <w:div w:id="1987591685">
      <w:bodyDiv w:val="1"/>
      <w:marLeft w:val="0"/>
      <w:marRight w:val="0"/>
      <w:marTop w:val="0"/>
      <w:marBottom w:val="0"/>
      <w:divBdr>
        <w:top w:val="none" w:sz="0" w:space="0" w:color="auto"/>
        <w:left w:val="none" w:sz="0" w:space="0" w:color="auto"/>
        <w:bottom w:val="none" w:sz="0" w:space="0" w:color="auto"/>
        <w:right w:val="none" w:sz="0" w:space="0" w:color="auto"/>
      </w:divBdr>
    </w:div>
    <w:div w:id="2053141853">
      <w:bodyDiv w:val="1"/>
      <w:marLeft w:val="0"/>
      <w:marRight w:val="0"/>
      <w:marTop w:val="0"/>
      <w:marBottom w:val="0"/>
      <w:divBdr>
        <w:top w:val="none" w:sz="0" w:space="0" w:color="auto"/>
        <w:left w:val="none" w:sz="0" w:space="0" w:color="auto"/>
        <w:bottom w:val="none" w:sz="0" w:space="0" w:color="auto"/>
        <w:right w:val="none" w:sz="0" w:space="0" w:color="auto"/>
      </w:divBdr>
    </w:div>
    <w:div w:id="2079091680">
      <w:bodyDiv w:val="1"/>
      <w:marLeft w:val="0"/>
      <w:marRight w:val="0"/>
      <w:marTop w:val="0"/>
      <w:marBottom w:val="0"/>
      <w:divBdr>
        <w:top w:val="none" w:sz="0" w:space="0" w:color="auto"/>
        <w:left w:val="none" w:sz="0" w:space="0" w:color="auto"/>
        <w:bottom w:val="none" w:sz="0" w:space="0" w:color="auto"/>
        <w:right w:val="none" w:sz="0" w:space="0" w:color="auto"/>
      </w:divBdr>
    </w:div>
    <w:div w:id="2082095185">
      <w:bodyDiv w:val="1"/>
      <w:marLeft w:val="0"/>
      <w:marRight w:val="0"/>
      <w:marTop w:val="0"/>
      <w:marBottom w:val="0"/>
      <w:divBdr>
        <w:top w:val="none" w:sz="0" w:space="0" w:color="auto"/>
        <w:left w:val="none" w:sz="0" w:space="0" w:color="auto"/>
        <w:bottom w:val="none" w:sz="0" w:space="0" w:color="auto"/>
        <w:right w:val="none" w:sz="0" w:space="0" w:color="auto"/>
      </w:divBdr>
    </w:div>
    <w:div w:id="2095318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leginfo.legislature.ca.gov/faces/billTextClient.xhtml?bill_id=201920200AB1482" TargetMode="External"/><Relationship Id="rId1" Type="http://schemas.openxmlformats.org/officeDocument/2006/relationships/hyperlink" Target="https://leginfo.legislature.ca.gov/faces/codes_displayText.xhtml?lawCode=CIV&amp;division=3.&amp;title=5.&amp;part=4.&amp;chapter=2.7.&amp;articl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x/Documents/cal/2021_02_summer/evic_paper/TF_Template_Word_Mac_20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C01EA2-16BA-794E-B743-B58DC0F0F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TF_Template_Word_Mac_2011.dotx</Template>
  <TotalTime>3</TotalTime>
  <Pages>26</Pages>
  <Words>10578</Words>
  <Characters>60301</Characters>
  <Application>Microsoft Office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TF_Template_Word_Mac_2011</vt:lpstr>
    </vt:vector>
  </TitlesOfParts>
  <Manager/>
  <Company/>
  <LinksUpToDate>false</LinksUpToDate>
  <CharactersWithSpaces>70738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TF_Template_Word_Mac_2011</dc:title>
  <dc:subject/>
  <dc:creator>Microsoft Office User</dc:creator>
  <cp:keywords/>
  <dc:description/>
  <cp:lastModifiedBy>Max Gardner</cp:lastModifiedBy>
  <cp:revision>3</cp:revision>
  <cp:lastPrinted>2011-07-22T14:54:00Z</cp:lastPrinted>
  <dcterms:created xsi:type="dcterms:W3CDTF">2021-07-12T19:04:00Z</dcterms:created>
  <dcterms:modified xsi:type="dcterms:W3CDTF">2021-07-12T19:09:00Z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id="6AAnDbd5"/&gt;&lt;style id="http://www.zotero.org/styles/apa" locale="en-US" hasBibliography="1" bibliographyStyleHasBeenSet="1"/&gt;&lt;prefs&gt;&lt;pref name="fieldType" value="Field"/&gt;&lt;/prefs&gt;&lt;/data&gt;</vt:lpwstr>
  </property>
</Properties>
</file>