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233B3" w14:textId="77777777" w:rsidR="0065670E" w:rsidRDefault="003D00ED">
      <w:pPr>
        <w:jc w:val="center"/>
        <w:rPr>
          <w:b/>
          <w:bCs/>
          <w:sz w:val="28"/>
          <w:szCs w:val="28"/>
        </w:rPr>
      </w:pPr>
      <w:r>
        <w:rPr>
          <w:b/>
          <w:bCs/>
          <w:sz w:val="28"/>
          <w:szCs w:val="28"/>
        </w:rPr>
        <w:t xml:space="preserve">Morton Feldman: </w:t>
      </w:r>
      <w:r>
        <w:rPr>
          <w:b/>
          <w:bCs/>
          <w:i/>
          <w:iCs/>
          <w:sz w:val="28"/>
          <w:szCs w:val="28"/>
        </w:rPr>
        <w:t>The King of Denmark</w:t>
      </w:r>
    </w:p>
    <w:p w14:paraId="75F63776" w14:textId="77777777" w:rsidR="0065670E" w:rsidRDefault="0065670E">
      <w:pPr>
        <w:jc w:val="center"/>
      </w:pPr>
    </w:p>
    <w:p w14:paraId="01BA971E" w14:textId="77777777" w:rsidR="0065670E" w:rsidRDefault="003D00ED">
      <w:pPr>
        <w:rPr>
          <w:b/>
          <w:bCs/>
          <w:lang w:val="de-DE"/>
        </w:rPr>
      </w:pPr>
      <w:r>
        <w:rPr>
          <w:b/>
          <w:bCs/>
          <w:lang w:val="de-DE"/>
        </w:rPr>
        <w:t>Graphische Notierung</w:t>
      </w:r>
    </w:p>
    <w:p w14:paraId="6E440714" w14:textId="77777777" w:rsidR="0065670E" w:rsidRDefault="003D00ED">
      <w:pPr>
        <w:rPr>
          <w:lang w:val="de-DE"/>
        </w:rPr>
      </w:pPr>
      <w:r>
        <w:rPr>
          <w:lang w:val="de-DE"/>
        </w:rPr>
        <w:t xml:space="preserve">Morton Feldmans </w:t>
      </w:r>
      <w:bookmarkStart w:id="0" w:name="__DdeLink__2061_2704876832"/>
      <w:r>
        <w:rPr>
          <w:i/>
          <w:iCs/>
          <w:lang w:val="de-DE"/>
        </w:rPr>
        <w:t xml:space="preserve">The King </w:t>
      </w:r>
      <w:proofErr w:type="spellStart"/>
      <w:r>
        <w:rPr>
          <w:i/>
          <w:iCs/>
          <w:lang w:val="de-DE"/>
        </w:rPr>
        <w:t>of</w:t>
      </w:r>
      <w:proofErr w:type="spellEnd"/>
      <w:r>
        <w:rPr>
          <w:i/>
          <w:iCs/>
          <w:lang w:val="de-DE"/>
        </w:rPr>
        <w:t xml:space="preserve"> </w:t>
      </w:r>
      <w:proofErr w:type="spellStart"/>
      <w:r>
        <w:rPr>
          <w:i/>
          <w:iCs/>
          <w:lang w:val="de-DE"/>
        </w:rPr>
        <w:t>Denmark</w:t>
      </w:r>
      <w:bookmarkEnd w:id="0"/>
      <w:proofErr w:type="spellEnd"/>
      <w:r>
        <w:rPr>
          <w:lang w:val="de-DE"/>
        </w:rPr>
        <w:t xml:space="preserve"> für Schlagzeuger solo ist </w:t>
      </w:r>
      <w:commentRangeStart w:id="1"/>
      <w:r>
        <w:rPr>
          <w:lang w:val="de-DE"/>
        </w:rPr>
        <w:t>eines seiner Werke, die graphisch notiert sind:</w:t>
      </w:r>
      <w:commentRangeEnd w:id="1"/>
      <w:r w:rsidR="00522BBC">
        <w:rPr>
          <w:rStyle w:val="Kommentarzeichen"/>
          <w:rFonts w:cs="Mangal"/>
        </w:rPr>
        <w:commentReference w:id="1"/>
      </w:r>
      <w:r>
        <w:rPr>
          <w:lang w:val="de-DE"/>
        </w:rPr>
        <w:t xml:space="preserve"> Zur Darstellung wählt Feldman ein Raster aus Kästchen, von denen drei übereinander liegen. Damit kennzeichnet er hohe, mittlere und tiefe Klänge. Die Breite eines Kästchens steht fü</w:t>
      </w:r>
      <w:r>
        <w:rPr>
          <w:lang w:val="de-DE"/>
        </w:rPr>
        <w:t xml:space="preserve">r die Dauer eines Schlags zwischen Tempo 66 und 92 – </w:t>
      </w:r>
      <w:commentRangeStart w:id="2"/>
      <w:r>
        <w:rPr>
          <w:lang w:val="de-DE"/>
        </w:rPr>
        <w:t>somit ist die Gesamtdauer des Stückes nicht ganz festgelegt.</w:t>
      </w:r>
      <w:commentRangeEnd w:id="2"/>
      <w:r w:rsidR="00522BBC">
        <w:rPr>
          <w:rStyle w:val="Kommentarzeichen"/>
          <w:rFonts w:cs="Mangal"/>
        </w:rPr>
        <w:commentReference w:id="2"/>
      </w:r>
    </w:p>
    <w:p w14:paraId="42D0786A" w14:textId="77777777" w:rsidR="0065670E" w:rsidRDefault="0065670E">
      <w:pPr>
        <w:rPr>
          <w:lang w:val="de-DE"/>
        </w:rPr>
      </w:pPr>
    </w:p>
    <w:p w14:paraId="52A84583" w14:textId="77777777" w:rsidR="0065670E" w:rsidRDefault="003D00ED">
      <w:pPr>
        <w:rPr>
          <w:b/>
          <w:bCs/>
          <w:lang w:val="de-DE"/>
        </w:rPr>
      </w:pPr>
      <w:r>
        <w:rPr>
          <w:b/>
          <w:bCs/>
          <w:lang w:val="de-DE"/>
        </w:rPr>
        <w:t>Aufführungspraxis</w:t>
      </w:r>
    </w:p>
    <w:p w14:paraId="1C7F859D" w14:textId="533AD990" w:rsidR="0065670E" w:rsidRDefault="003D00ED">
      <w:pPr>
        <w:rPr>
          <w:lang w:val="de-DE"/>
        </w:rPr>
      </w:pPr>
      <w:r>
        <w:rPr>
          <w:lang w:val="de-DE"/>
        </w:rPr>
        <w:t>Verschiedene existierende Interpretationen des Stückes haben dementsprechend unterschiedliche Dauer</w:t>
      </w:r>
      <w:r w:rsidR="00DC6A70">
        <w:rPr>
          <w:lang w:val="de-DE"/>
        </w:rPr>
        <w:t>n.</w:t>
      </w:r>
      <w:r>
        <w:rPr>
          <w:lang w:val="de-DE"/>
        </w:rPr>
        <w:t xml:space="preserve"> </w:t>
      </w:r>
      <w:r w:rsidR="00DC6A70">
        <w:rPr>
          <w:lang w:val="de-DE"/>
        </w:rPr>
        <w:t>A</w:t>
      </w:r>
      <w:r>
        <w:rPr>
          <w:lang w:val="de-DE"/>
        </w:rPr>
        <w:t xml:space="preserve">llerdings merkt man, </w:t>
      </w:r>
      <w:r>
        <w:rPr>
          <w:lang w:val="de-DE"/>
        </w:rPr>
        <w:t xml:space="preserve">dass die meisten Spieler zwar </w:t>
      </w:r>
      <w:r>
        <w:rPr>
          <w:lang w:val="de-DE"/>
        </w:rPr>
        <w:t xml:space="preserve">Respekt für die in der Partitur angegebenen </w:t>
      </w:r>
      <w:commentRangeStart w:id="3"/>
      <w:r>
        <w:rPr>
          <w:lang w:val="de-DE"/>
        </w:rPr>
        <w:t>Dauer-Proportionen</w:t>
      </w:r>
      <w:commentRangeEnd w:id="3"/>
      <w:r w:rsidR="00522BBC">
        <w:rPr>
          <w:rStyle w:val="Kommentarzeichen"/>
          <w:rFonts w:cs="Mangal"/>
        </w:rPr>
        <w:commentReference w:id="3"/>
      </w:r>
      <w:r>
        <w:rPr>
          <w:lang w:val="de-DE"/>
        </w:rPr>
        <w:t xml:space="preserve"> </w:t>
      </w:r>
      <w:r w:rsidR="00D90681">
        <w:rPr>
          <w:lang w:val="de-DE"/>
        </w:rPr>
        <w:t xml:space="preserve">haben, aber </w:t>
      </w:r>
      <w:r>
        <w:rPr>
          <w:lang w:val="de-DE"/>
        </w:rPr>
        <w:t xml:space="preserve">insgesamt </w:t>
      </w:r>
      <w:r w:rsidR="00D90681">
        <w:rPr>
          <w:lang w:val="de-DE"/>
        </w:rPr>
        <w:t xml:space="preserve">dazu </w:t>
      </w:r>
      <w:r w:rsidR="00D90681">
        <w:rPr>
          <w:lang w:val="de-DE"/>
        </w:rPr>
        <w:t>tendieren</w:t>
      </w:r>
      <w:r w:rsidR="00D90681">
        <w:rPr>
          <w:lang w:val="de-DE"/>
        </w:rPr>
        <w:t xml:space="preserve">, </w:t>
      </w:r>
      <w:r>
        <w:rPr>
          <w:lang w:val="de-DE"/>
        </w:rPr>
        <w:t xml:space="preserve">etwas zu schnell </w:t>
      </w:r>
      <w:r w:rsidR="00D90681">
        <w:rPr>
          <w:lang w:val="de-DE"/>
        </w:rPr>
        <w:t xml:space="preserve">zu </w:t>
      </w:r>
      <w:r>
        <w:rPr>
          <w:lang w:val="de-DE"/>
        </w:rPr>
        <w:t>spielen</w:t>
      </w:r>
      <w:r>
        <w:rPr>
          <w:lang w:val="de-DE"/>
        </w:rPr>
        <w:t>. Das könnte, unter anderem, zwei mögliche Gründe haben: erstens, das Stück wird komplett ohne Schlägel gespie</w:t>
      </w:r>
      <w:r>
        <w:rPr>
          <w:lang w:val="de-DE"/>
        </w:rPr>
        <w:t xml:space="preserve">lt – der Interpret kann nur Fingern, Hände, Arme benutzen. Zweitens, obwohl Dynamik nicht notiert ist, gibt es einen Hinweis auf der Erklärungsseite, dass die Lautstärke extrem leise und gleichmäßig einzuhalten ist. Durch die beiden erwähnten Aspekte wird </w:t>
      </w:r>
      <w:r>
        <w:rPr>
          <w:lang w:val="de-DE"/>
        </w:rPr>
        <w:t xml:space="preserve">die Nachhallzeit jedes Klangs relativ kurz – die Klänge verschwinden also schnell. Und obwohl </w:t>
      </w:r>
      <w:r>
        <w:rPr>
          <w:i/>
          <w:iCs/>
          <w:lang w:val="de-DE"/>
        </w:rPr>
        <w:t xml:space="preserve">The King </w:t>
      </w:r>
      <w:proofErr w:type="spellStart"/>
      <w:r>
        <w:rPr>
          <w:i/>
          <w:iCs/>
          <w:lang w:val="de-DE"/>
        </w:rPr>
        <w:t>of</w:t>
      </w:r>
      <w:proofErr w:type="spellEnd"/>
      <w:r>
        <w:rPr>
          <w:i/>
          <w:iCs/>
          <w:lang w:val="de-DE"/>
        </w:rPr>
        <w:t xml:space="preserve"> </w:t>
      </w:r>
      <w:proofErr w:type="spellStart"/>
      <w:r>
        <w:rPr>
          <w:i/>
          <w:iCs/>
          <w:lang w:val="de-DE"/>
        </w:rPr>
        <w:t>Denmark</w:t>
      </w:r>
      <w:proofErr w:type="spellEnd"/>
      <w:r>
        <w:rPr>
          <w:i/>
          <w:iCs/>
          <w:lang w:val="de-DE"/>
        </w:rPr>
        <w:t xml:space="preserve"> </w:t>
      </w:r>
      <w:r>
        <w:rPr>
          <w:lang w:val="de-DE"/>
        </w:rPr>
        <w:t>mit der vorgesehenen Spieldauer von zwischen ca. 7‘30“ und 10‘30“ nicht lang ist (die extrem lange</w:t>
      </w:r>
      <w:r w:rsidR="00522BBC">
        <w:rPr>
          <w:lang w:val="de-DE"/>
        </w:rPr>
        <w:t>n</w:t>
      </w:r>
      <w:r>
        <w:rPr>
          <w:lang w:val="de-DE"/>
        </w:rPr>
        <w:t xml:space="preserve"> Stücke hat Feldman erst 20 Jahre später ang</w:t>
      </w:r>
      <w:r>
        <w:rPr>
          <w:lang w:val="de-DE"/>
        </w:rPr>
        <w:t>efangen zu schreiben</w:t>
      </w:r>
      <w:commentRangeStart w:id="4"/>
      <w:r>
        <w:rPr>
          <w:lang w:val="de-DE"/>
        </w:rPr>
        <w:t>), könnte man denken, dass um das Fortschreiten aufrechtzuerhalten und so das Stück lebendig zu machen</w:t>
      </w:r>
      <w:r w:rsidR="00DC6A70">
        <w:rPr>
          <w:lang w:val="de-DE"/>
        </w:rPr>
        <w:t>,</w:t>
      </w:r>
      <w:r>
        <w:rPr>
          <w:lang w:val="de-DE"/>
        </w:rPr>
        <w:t xml:space="preserve"> </w:t>
      </w:r>
      <w:r>
        <w:rPr>
          <w:lang w:val="de-DE"/>
        </w:rPr>
        <w:t>die meisten Schlagzeuger ein etwas schnelleres</w:t>
      </w:r>
      <w:r w:rsidR="00DC6A70">
        <w:rPr>
          <w:lang w:val="de-DE"/>
        </w:rPr>
        <w:t xml:space="preserve"> </w:t>
      </w:r>
      <w:r w:rsidR="00DC6A70">
        <w:rPr>
          <w:lang w:val="de-DE"/>
        </w:rPr>
        <w:t>Tempo</w:t>
      </w:r>
      <w:r w:rsidR="00DC6A70" w:rsidRPr="00DC6A70">
        <w:rPr>
          <w:lang w:val="de-DE"/>
        </w:rPr>
        <w:t xml:space="preserve"> </w:t>
      </w:r>
      <w:r w:rsidR="00DC6A70">
        <w:rPr>
          <w:lang w:val="de-DE"/>
        </w:rPr>
        <w:t>wählen</w:t>
      </w:r>
      <w:r>
        <w:rPr>
          <w:lang w:val="de-DE"/>
        </w:rPr>
        <w:t>, als von dem Komponist angegeben</w:t>
      </w:r>
      <w:r>
        <w:rPr>
          <w:lang w:val="de-DE"/>
        </w:rPr>
        <w:t>.</w:t>
      </w:r>
      <w:commentRangeEnd w:id="4"/>
      <w:r w:rsidR="00522BBC">
        <w:rPr>
          <w:rStyle w:val="Kommentarzeichen"/>
          <w:rFonts w:cs="Mangal"/>
        </w:rPr>
        <w:commentReference w:id="4"/>
      </w:r>
    </w:p>
    <w:p w14:paraId="63359566" w14:textId="77777777" w:rsidR="0065670E" w:rsidRDefault="0065670E">
      <w:pPr>
        <w:rPr>
          <w:lang w:val="de-DE"/>
        </w:rPr>
      </w:pPr>
    </w:p>
    <w:p w14:paraId="19B16131" w14:textId="77777777" w:rsidR="0065670E" w:rsidRDefault="003D00ED">
      <w:pPr>
        <w:rPr>
          <w:b/>
          <w:bCs/>
          <w:lang w:val="de-DE"/>
        </w:rPr>
      </w:pPr>
      <w:r>
        <w:rPr>
          <w:b/>
          <w:bCs/>
          <w:lang w:val="de-DE"/>
        </w:rPr>
        <w:t xml:space="preserve">Charakteristische zu entfernen – </w:t>
      </w:r>
      <w:proofErr w:type="spellStart"/>
      <w:r>
        <w:rPr>
          <w:b/>
          <w:bCs/>
          <w:i/>
          <w:iCs/>
          <w:lang w:val="de-DE"/>
        </w:rPr>
        <w:t>the</w:t>
      </w:r>
      <w:proofErr w:type="spellEnd"/>
      <w:r>
        <w:rPr>
          <w:b/>
          <w:bCs/>
          <w:i/>
          <w:iCs/>
          <w:lang w:val="de-DE"/>
        </w:rPr>
        <w:t xml:space="preserve"> </w:t>
      </w:r>
      <w:commentRangeStart w:id="5"/>
      <w:proofErr w:type="spellStart"/>
      <w:r>
        <w:rPr>
          <w:b/>
          <w:bCs/>
          <w:i/>
          <w:iCs/>
          <w:lang w:val="de-DE"/>
        </w:rPr>
        <w:t>wisp</w:t>
      </w:r>
      <w:commentRangeEnd w:id="5"/>
      <w:proofErr w:type="spellEnd"/>
      <w:r w:rsidR="00522BBC">
        <w:rPr>
          <w:rStyle w:val="Kommentarzeichen"/>
          <w:rFonts w:cs="Mangal"/>
        </w:rPr>
        <w:commentReference w:id="5"/>
      </w:r>
    </w:p>
    <w:p w14:paraId="44EA674C" w14:textId="77777777" w:rsidR="0065670E" w:rsidRPr="00522BBC" w:rsidRDefault="003D00ED">
      <w:pPr>
        <w:rPr>
          <w:lang w:val="de-DE"/>
        </w:rPr>
      </w:pPr>
      <w:r>
        <w:rPr>
          <w:lang w:val="de-DE"/>
        </w:rPr>
        <w:t xml:space="preserve">Feldmans Entscheidung das Stück ohne Schlägel spielen zu lassen stammt </w:t>
      </w:r>
      <w:proofErr w:type="gramStart"/>
      <w:r>
        <w:rPr>
          <w:lang w:val="de-DE"/>
        </w:rPr>
        <w:t>aus seiner derzeitiger Interesse</w:t>
      </w:r>
      <w:proofErr w:type="gramEnd"/>
      <w:r>
        <w:rPr>
          <w:lang w:val="de-DE"/>
        </w:rPr>
        <w:t xml:space="preserve"> an flüchtigen, vergänglichen Klänge: </w:t>
      </w:r>
    </w:p>
    <w:p w14:paraId="6F89A7EC" w14:textId="77777777" w:rsidR="0065670E" w:rsidRDefault="0065670E">
      <w:pPr>
        <w:rPr>
          <w:lang w:val="de-DE"/>
        </w:rPr>
      </w:pPr>
    </w:p>
    <w:p w14:paraId="0EFBF65C" w14:textId="77777777" w:rsidR="0065670E" w:rsidRDefault="003D00ED">
      <w:pPr>
        <w:pStyle w:val="Quotations"/>
      </w:pPr>
      <w:r>
        <w:rPr>
          <w:sz w:val="20"/>
          <w:szCs w:val="20"/>
        </w:rPr>
        <w:t>“I was very impressed with the wisp, that things don't last, and that became an image of the piece: what was</w:t>
      </w:r>
      <w:r>
        <w:rPr>
          <w:sz w:val="20"/>
          <w:szCs w:val="20"/>
        </w:rPr>
        <w:t xml:space="preserve"> happening around me.”</w:t>
      </w:r>
      <w:r>
        <w:rPr>
          <w:rStyle w:val="FootnoteAnchor"/>
          <w:sz w:val="20"/>
          <w:szCs w:val="20"/>
        </w:rPr>
        <w:footnoteReference w:id="1"/>
      </w:r>
      <w:r>
        <w:rPr>
          <w:sz w:val="20"/>
          <w:szCs w:val="20"/>
        </w:rPr>
        <w:t xml:space="preserve"> </w:t>
      </w:r>
    </w:p>
    <w:p w14:paraId="7326D101" w14:textId="35585A2C" w:rsidR="0065670E" w:rsidRPr="00522BBC" w:rsidRDefault="003D00ED">
      <w:pPr>
        <w:rPr>
          <w:lang w:val="de-DE"/>
        </w:rPr>
      </w:pPr>
      <w:r>
        <w:rPr>
          <w:lang w:val="de-DE"/>
        </w:rPr>
        <w:t>Das Werk ist innerhalb einiger Stunden auf dem Strand auf der Südküste von Long Island im Jahr 1964 entstanden</w:t>
      </w:r>
      <w:r w:rsidR="00D90681">
        <w:rPr>
          <w:lang w:val="de-DE"/>
        </w:rPr>
        <w:t>.</w:t>
      </w:r>
      <w:r>
        <w:rPr>
          <w:lang w:val="de-DE"/>
        </w:rPr>
        <w:t xml:space="preserve"> </w:t>
      </w:r>
      <w:r w:rsidR="00D90681">
        <w:rPr>
          <w:lang w:val="de-DE"/>
        </w:rPr>
        <w:t>L</w:t>
      </w:r>
      <w:r>
        <w:rPr>
          <w:lang w:val="de-DE"/>
        </w:rPr>
        <w:t xml:space="preserve">aut </w:t>
      </w:r>
      <w:r w:rsidR="00D90681">
        <w:rPr>
          <w:lang w:val="de-DE"/>
        </w:rPr>
        <w:t xml:space="preserve">dem </w:t>
      </w:r>
      <w:r>
        <w:rPr>
          <w:lang w:val="de-DE"/>
        </w:rPr>
        <w:t>Komponisten</w:t>
      </w:r>
      <w:commentRangeStart w:id="6"/>
      <w:r>
        <w:rPr>
          <w:lang w:val="de-DE"/>
        </w:rPr>
        <w:t xml:space="preserve"> </w:t>
      </w:r>
      <w:r w:rsidR="00D90681">
        <w:rPr>
          <w:lang w:val="de-DE"/>
        </w:rPr>
        <w:t xml:space="preserve">flossen </w:t>
      </w:r>
      <w:r>
        <w:rPr>
          <w:lang w:val="de-DE"/>
        </w:rPr>
        <w:t xml:space="preserve">die Umgebungsklänge </w:t>
      </w:r>
      <w:r>
        <w:rPr>
          <w:lang w:val="de-DE"/>
        </w:rPr>
        <w:t xml:space="preserve">in </w:t>
      </w:r>
      <w:commentRangeEnd w:id="6"/>
      <w:r w:rsidR="00522BBC">
        <w:rPr>
          <w:rStyle w:val="Kommentarzeichen"/>
          <w:rFonts w:cs="Mangal"/>
        </w:rPr>
        <w:commentReference w:id="6"/>
      </w:r>
      <w:r>
        <w:rPr>
          <w:lang w:val="de-DE"/>
        </w:rPr>
        <w:t xml:space="preserve">das Werk </w:t>
      </w:r>
      <w:r>
        <w:rPr>
          <w:lang w:val="de-DE"/>
        </w:rPr>
        <w:t xml:space="preserve">ein: </w:t>
      </w:r>
    </w:p>
    <w:p w14:paraId="332D0C4C" w14:textId="77777777" w:rsidR="0065670E" w:rsidRDefault="0065670E">
      <w:pPr>
        <w:rPr>
          <w:lang w:val="de-DE"/>
        </w:rPr>
      </w:pPr>
    </w:p>
    <w:p w14:paraId="623DA00A" w14:textId="77777777" w:rsidR="0065670E" w:rsidRDefault="003D00ED">
      <w:pPr>
        <w:pStyle w:val="Quotations"/>
      </w:pPr>
      <w:r w:rsidRPr="00522BBC">
        <w:rPr>
          <w:sz w:val="20"/>
          <w:szCs w:val="20"/>
        </w:rPr>
        <w:t>“[</w:t>
      </w:r>
      <w:r w:rsidRPr="00522BBC">
        <w:rPr>
          <w:rFonts w:eastAsia="Liberation Serif" w:cs="Liberation Serif"/>
          <w:sz w:val="20"/>
          <w:szCs w:val="20"/>
        </w:rPr>
        <w:t>…</w:t>
      </w:r>
      <w:r w:rsidRPr="00522BBC">
        <w:rPr>
          <w:sz w:val="20"/>
          <w:szCs w:val="20"/>
        </w:rPr>
        <w:t xml:space="preserve">] that kind of muffled sound of kids in the </w:t>
      </w:r>
      <w:r w:rsidRPr="00522BBC">
        <w:rPr>
          <w:sz w:val="20"/>
          <w:szCs w:val="20"/>
        </w:rPr>
        <w:t>distance and transistor radios and drifts of conversation from other pockets of inhabitants on blankets, and I remember that it did come into the piece.”</w:t>
      </w:r>
      <w:r>
        <w:rPr>
          <w:rStyle w:val="FootnoteAnchor"/>
          <w:sz w:val="20"/>
          <w:szCs w:val="20"/>
        </w:rPr>
        <w:footnoteReference w:id="2"/>
      </w:r>
      <w:r w:rsidRPr="00522BBC">
        <w:rPr>
          <w:sz w:val="20"/>
          <w:szCs w:val="20"/>
        </w:rPr>
        <w:t xml:space="preserve"> </w:t>
      </w:r>
    </w:p>
    <w:p w14:paraId="71319711" w14:textId="2415BD07" w:rsidR="0065670E" w:rsidRPr="00522BBC" w:rsidRDefault="003D00ED">
      <w:pPr>
        <w:rPr>
          <w:lang w:val="de-DE"/>
        </w:rPr>
      </w:pPr>
      <w:commentRangeStart w:id="7"/>
      <w:r>
        <w:rPr>
          <w:lang w:val="de-DE"/>
        </w:rPr>
        <w:t>Der erste Interpret des Stückes, Max Neuhaus, seinerseits, erinnert sich, dass die Entscheidung, da</w:t>
      </w:r>
      <w:r>
        <w:rPr>
          <w:lang w:val="de-DE"/>
        </w:rPr>
        <w:t xml:space="preserve">ss das Werk ohne Schlägel gespielt werden soll, als Lösung für Feldmans Verlangen um das Stück so leise wie möglich zu spielen während der Ausprobiersession mit ihm </w:t>
      </w:r>
      <w:r w:rsidR="00D90681">
        <w:rPr>
          <w:lang w:val="de-DE"/>
        </w:rPr>
        <w:t>aufkam</w:t>
      </w:r>
      <w:r>
        <w:rPr>
          <w:lang w:val="de-DE"/>
        </w:rPr>
        <w:t>.</w:t>
      </w:r>
      <w:r>
        <w:rPr>
          <w:rStyle w:val="FootnoteAnchor"/>
          <w:lang w:val="de-DE"/>
        </w:rPr>
        <w:footnoteReference w:id="3"/>
      </w:r>
      <w:r>
        <w:rPr>
          <w:lang w:val="de-DE"/>
        </w:rPr>
        <w:t xml:space="preserve"> </w:t>
      </w:r>
      <w:commentRangeEnd w:id="7"/>
      <w:r w:rsidR="00D90681">
        <w:rPr>
          <w:rStyle w:val="Kommentarzeichen"/>
          <w:rFonts w:cs="Mangal"/>
        </w:rPr>
        <w:commentReference w:id="7"/>
      </w:r>
      <w:r>
        <w:rPr>
          <w:lang w:val="de-DE"/>
        </w:rPr>
        <w:t xml:space="preserve">Andererseits, suchte Feldman neue Wege </w:t>
      </w:r>
      <w:r w:rsidR="00D90681">
        <w:rPr>
          <w:lang w:val="de-DE"/>
        </w:rPr>
        <w:t>Schlaginstrum</w:t>
      </w:r>
      <w:r w:rsidR="00D90681">
        <w:rPr>
          <w:lang w:val="de-DE"/>
        </w:rPr>
        <w:t>e</w:t>
      </w:r>
      <w:r w:rsidR="00D90681">
        <w:rPr>
          <w:lang w:val="de-DE"/>
        </w:rPr>
        <w:t xml:space="preserve">nte </w:t>
      </w:r>
      <w:r>
        <w:rPr>
          <w:lang w:val="de-DE"/>
        </w:rPr>
        <w:t>für sich neu zu</w:t>
      </w:r>
      <w:r>
        <w:rPr>
          <w:lang w:val="de-DE"/>
        </w:rPr>
        <w:t xml:space="preserve"> entdecken und von gewissen Klischees zu befreien, in Folge dessen hat er entschieden das charakteristische Merkmal des Schlages – </w:t>
      </w:r>
      <w:r w:rsidR="002E641E">
        <w:rPr>
          <w:lang w:val="de-DE"/>
        </w:rPr>
        <w:t xml:space="preserve">den </w:t>
      </w:r>
      <w:r w:rsidR="00152CEC">
        <w:rPr>
          <w:lang w:val="de-DE"/>
        </w:rPr>
        <w:t xml:space="preserve">Einschwingvorgang </w:t>
      </w:r>
      <w:commentRangeStart w:id="8"/>
      <w:commentRangeEnd w:id="8"/>
      <w:r w:rsidR="00522BBC">
        <w:rPr>
          <w:rStyle w:val="Kommentarzeichen"/>
          <w:rFonts w:cs="Mangal"/>
        </w:rPr>
        <w:commentReference w:id="8"/>
      </w:r>
      <w:r>
        <w:rPr>
          <w:lang w:val="de-DE"/>
        </w:rPr>
        <w:t>– zu entfernen:</w:t>
      </w:r>
    </w:p>
    <w:p w14:paraId="167D558C" w14:textId="77777777" w:rsidR="0065670E" w:rsidRPr="00522BBC" w:rsidRDefault="0065670E">
      <w:pPr>
        <w:rPr>
          <w:lang w:val="de-DE"/>
        </w:rPr>
      </w:pPr>
    </w:p>
    <w:p w14:paraId="6147A4C3" w14:textId="77777777" w:rsidR="0065670E" w:rsidRDefault="003D00ED">
      <w:pPr>
        <w:pStyle w:val="Quotations"/>
      </w:pPr>
      <w:proofErr w:type="gramStart"/>
      <w:r>
        <w:rPr>
          <w:sz w:val="20"/>
          <w:szCs w:val="20"/>
        </w:rPr>
        <w:lastRenderedPageBreak/>
        <w:t>„[</w:t>
      </w:r>
      <w:proofErr w:type="gramEnd"/>
      <w:r>
        <w:rPr>
          <w:rFonts w:eastAsia="Liberation Serif" w:cs="Liberation Serif"/>
          <w:sz w:val="20"/>
          <w:szCs w:val="20"/>
        </w:rPr>
        <w:t>…</w:t>
      </w:r>
      <w:r>
        <w:rPr>
          <w:sz w:val="20"/>
          <w:szCs w:val="20"/>
        </w:rPr>
        <w:t>] percussion was always used in the sense that what was exciting about percussion was a kind of f</w:t>
      </w:r>
      <w:r>
        <w:rPr>
          <w:sz w:val="20"/>
          <w:szCs w:val="20"/>
        </w:rPr>
        <w:t xml:space="preserve">antastic availability of all these different kinds of attacks – and here, I take out the aspect of attack. </w:t>
      </w:r>
      <w:r w:rsidRPr="00522BBC">
        <w:rPr>
          <w:sz w:val="20"/>
          <w:szCs w:val="20"/>
        </w:rPr>
        <w:t>[</w:t>
      </w:r>
      <w:r w:rsidRPr="00522BBC">
        <w:rPr>
          <w:rFonts w:eastAsia="Liberation Serif" w:cs="Liberation Serif"/>
          <w:sz w:val="20"/>
          <w:szCs w:val="20"/>
        </w:rPr>
        <w:t>…]</w:t>
      </w:r>
      <w:r w:rsidRPr="00522BBC">
        <w:rPr>
          <w:sz w:val="20"/>
          <w:szCs w:val="20"/>
        </w:rPr>
        <w:t xml:space="preserve"> </w:t>
      </w:r>
      <w:r>
        <w:rPr>
          <w:sz w:val="20"/>
          <w:szCs w:val="20"/>
        </w:rPr>
        <w:t xml:space="preserve">I took out what was considered its strongest </w:t>
      </w:r>
      <w:proofErr w:type="gramStart"/>
      <w:r>
        <w:rPr>
          <w:sz w:val="20"/>
          <w:szCs w:val="20"/>
        </w:rPr>
        <w:t>aspect.“</w:t>
      </w:r>
      <w:proofErr w:type="gramEnd"/>
      <w:r>
        <w:rPr>
          <w:rStyle w:val="FootnoteAnchor"/>
          <w:sz w:val="20"/>
          <w:szCs w:val="20"/>
          <w:lang w:val="de-DE"/>
        </w:rPr>
        <w:footnoteReference w:id="4"/>
      </w:r>
    </w:p>
    <w:p w14:paraId="1488C2EE" w14:textId="77777777" w:rsidR="0065670E" w:rsidRDefault="0065670E">
      <w:pPr>
        <w:ind w:left="283" w:right="283"/>
        <w:rPr>
          <w:sz w:val="20"/>
          <w:szCs w:val="20"/>
          <w:lang w:val="de-DE"/>
        </w:rPr>
      </w:pPr>
    </w:p>
    <w:p w14:paraId="5DAAE220" w14:textId="77777777" w:rsidR="0065670E" w:rsidRPr="00522BBC" w:rsidRDefault="003D00ED">
      <w:pPr>
        <w:rPr>
          <w:lang w:val="de-DE"/>
        </w:rPr>
      </w:pPr>
      <w:r w:rsidRPr="00522BBC">
        <w:rPr>
          <w:lang w:val="de-DE"/>
        </w:rPr>
        <w:t xml:space="preserve">Der Komponist sah diese Strategie als eine Möglichkeit Percussion im neuen Kontext zu verwenden: </w:t>
      </w:r>
    </w:p>
    <w:p w14:paraId="7FB1D244" w14:textId="77777777" w:rsidR="0065670E" w:rsidRPr="00522BBC" w:rsidRDefault="0065670E">
      <w:pPr>
        <w:rPr>
          <w:lang w:val="de-DE"/>
        </w:rPr>
      </w:pPr>
    </w:p>
    <w:p w14:paraId="63DC8971" w14:textId="77777777" w:rsidR="0065670E" w:rsidRDefault="003D00ED">
      <w:pPr>
        <w:pStyle w:val="Quotations"/>
        <w:rPr>
          <w:sz w:val="20"/>
          <w:szCs w:val="20"/>
        </w:rPr>
      </w:pPr>
      <w:proofErr w:type="gramStart"/>
      <w:r>
        <w:rPr>
          <w:sz w:val="20"/>
          <w:szCs w:val="20"/>
        </w:rPr>
        <w:t>„[</w:t>
      </w:r>
      <w:proofErr w:type="gramEnd"/>
      <w:r>
        <w:rPr>
          <w:sz w:val="20"/>
          <w:szCs w:val="20"/>
        </w:rPr>
        <w:t>…] maybe we should look for percussion's potential in those areas we originally thought of as being weak. […] to use these Western instruments in the way t</w:t>
      </w:r>
      <w:r>
        <w:rPr>
          <w:sz w:val="20"/>
          <w:szCs w:val="20"/>
        </w:rPr>
        <w:t xml:space="preserve">hat would have been considered the least area for "success" was the success of </w:t>
      </w:r>
      <w:r>
        <w:rPr>
          <w:i/>
          <w:iCs/>
          <w:sz w:val="20"/>
          <w:szCs w:val="20"/>
        </w:rPr>
        <w:t xml:space="preserve">The King of </w:t>
      </w:r>
      <w:proofErr w:type="gramStart"/>
      <w:r>
        <w:rPr>
          <w:i/>
          <w:iCs/>
          <w:sz w:val="20"/>
          <w:szCs w:val="20"/>
        </w:rPr>
        <w:t>Denmark</w:t>
      </w:r>
      <w:r>
        <w:rPr>
          <w:sz w:val="20"/>
          <w:szCs w:val="20"/>
        </w:rPr>
        <w:t>.“</w:t>
      </w:r>
      <w:proofErr w:type="gramEnd"/>
      <w:r>
        <w:rPr>
          <w:rStyle w:val="FootnoteAnchor"/>
          <w:sz w:val="20"/>
          <w:szCs w:val="20"/>
          <w:lang w:val="de-DE"/>
        </w:rPr>
        <w:footnoteReference w:id="5"/>
      </w:r>
    </w:p>
    <w:p w14:paraId="1E918EF1" w14:textId="77777777" w:rsidR="0065670E" w:rsidRDefault="0065670E"/>
    <w:p w14:paraId="512573B0" w14:textId="77777777" w:rsidR="0065670E" w:rsidRDefault="003D00ED">
      <w:pPr>
        <w:rPr>
          <w:b/>
          <w:bCs/>
          <w:lang w:val="de-DE"/>
        </w:rPr>
      </w:pPr>
      <w:r>
        <w:rPr>
          <w:b/>
          <w:bCs/>
          <w:lang w:val="de-DE"/>
        </w:rPr>
        <w:t>Instrumentales Set-</w:t>
      </w:r>
      <w:proofErr w:type="spellStart"/>
      <w:r>
        <w:rPr>
          <w:b/>
          <w:bCs/>
          <w:lang w:val="de-DE"/>
        </w:rPr>
        <w:t>up</w:t>
      </w:r>
      <w:proofErr w:type="spellEnd"/>
    </w:p>
    <w:p w14:paraId="24D4135C" w14:textId="77777777" w:rsidR="0065670E" w:rsidRDefault="003D00ED">
      <w:pPr>
        <w:rPr>
          <w:lang w:val="de-DE"/>
        </w:rPr>
      </w:pPr>
      <w:r>
        <w:rPr>
          <w:lang w:val="de-DE"/>
        </w:rPr>
        <w:t xml:space="preserve">Die Instrumente und Spieltechniken in dem Werk sind frei vom Interpreten zu wählen, dennoch gibt es auf der </w:t>
      </w:r>
      <w:bookmarkStart w:id="9" w:name="__DdeLink__670_1383400277"/>
      <w:r>
        <w:rPr>
          <w:lang w:val="de-DE"/>
        </w:rPr>
        <w:t xml:space="preserve">Erklärungsseite </w:t>
      </w:r>
      <w:bookmarkEnd w:id="9"/>
      <w:r>
        <w:rPr>
          <w:lang w:val="de-DE"/>
        </w:rPr>
        <w:t>sowie in der Partitur einige Hinweise auf bestimmten Instrumente oder Instrumentengruppen sowie Spieltechniken – es gibt Abschnitte,</w:t>
      </w:r>
      <w:r>
        <w:rPr>
          <w:lang w:val="de-DE"/>
        </w:rPr>
        <w:t xml:space="preserve"> wo eine bestimmte Instrumentengruppe gespielt werden soll, wo ein Cluster oder gehaltene Klänge erklingen soll. Feldman selbst sagt, dass er in dem Stück konventionelle Schlagzeuginstrumente benutzen wollte (</w:t>
      </w:r>
      <w:proofErr w:type="spellStart"/>
      <w:r>
        <w:rPr>
          <w:i/>
          <w:iCs/>
          <w:lang w:val="de-DE"/>
        </w:rPr>
        <w:t>Cymbal</w:t>
      </w:r>
      <w:proofErr w:type="spellEnd"/>
      <w:r>
        <w:rPr>
          <w:i/>
          <w:iCs/>
          <w:lang w:val="de-DE"/>
        </w:rPr>
        <w:t xml:space="preserve">, Gong, </w:t>
      </w:r>
      <w:proofErr w:type="spellStart"/>
      <w:r>
        <w:rPr>
          <w:i/>
          <w:iCs/>
          <w:lang w:val="de-DE"/>
        </w:rPr>
        <w:t>Tympani</w:t>
      </w:r>
      <w:proofErr w:type="spellEnd"/>
      <w:r>
        <w:rPr>
          <w:i/>
          <w:iCs/>
          <w:lang w:val="de-DE"/>
        </w:rPr>
        <w:t xml:space="preserve">, </w:t>
      </w:r>
      <w:proofErr w:type="spellStart"/>
      <w:r>
        <w:rPr>
          <w:i/>
          <w:iCs/>
          <w:lang w:val="de-DE"/>
        </w:rPr>
        <w:t>Triangle</w:t>
      </w:r>
      <w:proofErr w:type="spellEnd"/>
      <w:r>
        <w:rPr>
          <w:i/>
          <w:iCs/>
          <w:lang w:val="de-DE"/>
        </w:rPr>
        <w:t>, Vibraphone)</w:t>
      </w:r>
      <w:r>
        <w:rPr>
          <w:lang w:val="de-DE"/>
        </w:rPr>
        <w:t>, i</w:t>
      </w:r>
      <w:r>
        <w:rPr>
          <w:lang w:val="de-DE"/>
        </w:rPr>
        <w:t>n d</w:t>
      </w:r>
      <w:r w:rsidR="006D1766">
        <w:rPr>
          <w:lang w:val="de-DE"/>
        </w:rPr>
        <w:t>i</w:t>
      </w:r>
      <w:r>
        <w:rPr>
          <w:lang w:val="de-DE"/>
        </w:rPr>
        <w:t>e</w:t>
      </w:r>
      <w:r>
        <w:rPr>
          <w:lang w:val="de-DE"/>
        </w:rPr>
        <w:t xml:space="preserve"> konventionellen Kategorien aufgeteilt (</w:t>
      </w:r>
      <w:r>
        <w:rPr>
          <w:i/>
          <w:iCs/>
          <w:lang w:val="de-DE"/>
        </w:rPr>
        <w:t xml:space="preserve">Bell-like </w:t>
      </w:r>
      <w:proofErr w:type="spellStart"/>
      <w:r>
        <w:rPr>
          <w:i/>
          <w:iCs/>
          <w:lang w:val="de-DE"/>
        </w:rPr>
        <w:t>sounds</w:t>
      </w:r>
      <w:proofErr w:type="spellEnd"/>
      <w:r>
        <w:rPr>
          <w:i/>
          <w:iCs/>
          <w:lang w:val="de-DE"/>
        </w:rPr>
        <w:t xml:space="preserve">, Skin </w:t>
      </w:r>
      <w:proofErr w:type="spellStart"/>
      <w:r>
        <w:rPr>
          <w:i/>
          <w:iCs/>
          <w:lang w:val="de-DE"/>
        </w:rPr>
        <w:t>instruments</w:t>
      </w:r>
      <w:proofErr w:type="spellEnd"/>
      <w:r>
        <w:rPr>
          <w:i/>
          <w:iCs/>
          <w:lang w:val="de-DE"/>
        </w:rPr>
        <w:t>).</w:t>
      </w:r>
      <w:r>
        <w:rPr>
          <w:rStyle w:val="FootnoteAnchor"/>
          <w:i/>
          <w:iCs/>
          <w:lang w:val="de-DE"/>
        </w:rPr>
        <w:footnoteReference w:id="6"/>
      </w:r>
      <w:r>
        <w:rPr>
          <w:i/>
          <w:iCs/>
          <w:lang w:val="de-DE"/>
        </w:rPr>
        <w:t xml:space="preserve"> </w:t>
      </w:r>
      <w:r>
        <w:rPr>
          <w:lang w:val="de-DE"/>
        </w:rPr>
        <w:t xml:space="preserve">Dennoch lässt dies immer noch eine große </w:t>
      </w:r>
      <w:proofErr w:type="spellStart"/>
      <w:r>
        <w:rPr>
          <w:lang w:val="de-DE"/>
        </w:rPr>
        <w:t>Auswahlsfreiheit</w:t>
      </w:r>
      <w:proofErr w:type="spellEnd"/>
      <w:r>
        <w:rPr>
          <w:lang w:val="de-DE"/>
        </w:rPr>
        <w:t xml:space="preserve"> bezüglich Instrumente und Spieltechniken zu – das hört man in unterschiedlichen Aufnahmen des Stückes. Laut eines </w:t>
      </w:r>
      <w:r>
        <w:rPr>
          <w:lang w:val="de-DE"/>
        </w:rPr>
        <w:t>der Interpreten des Stückes, Jan Williams, das Werk wurde oft mit dem großen Instrumentarium aufgeführt, wobei Feldman meint, dass auch eine „Kapsel-Version“ möglich ist.</w:t>
      </w:r>
      <w:r>
        <w:rPr>
          <w:rStyle w:val="FootnoteAnchor"/>
          <w:lang w:val="de-DE"/>
        </w:rPr>
        <w:footnoteReference w:id="7"/>
      </w:r>
    </w:p>
    <w:p w14:paraId="76F783E4" w14:textId="77777777" w:rsidR="0065670E" w:rsidRDefault="0065670E">
      <w:pPr>
        <w:rPr>
          <w:lang w:val="de-DE"/>
        </w:rPr>
      </w:pPr>
    </w:p>
    <w:p w14:paraId="108BA902" w14:textId="77777777" w:rsidR="0065670E" w:rsidRDefault="003D00ED">
      <w:pPr>
        <w:rPr>
          <w:b/>
          <w:bCs/>
          <w:lang w:val="de-DE"/>
        </w:rPr>
      </w:pPr>
      <w:r>
        <w:rPr>
          <w:b/>
          <w:bCs/>
          <w:lang w:val="de-DE"/>
        </w:rPr>
        <w:t>Gewissenhaft dosierte Freiheit</w:t>
      </w:r>
    </w:p>
    <w:p w14:paraId="58DF69D9" w14:textId="4956B66A" w:rsidR="0065670E" w:rsidRDefault="003D00ED">
      <w:pPr>
        <w:rPr>
          <w:lang w:val="de-DE"/>
        </w:rPr>
      </w:pPr>
      <w:r>
        <w:rPr>
          <w:lang w:val="de-DE"/>
        </w:rPr>
        <w:t xml:space="preserve">Auch wenn für anschaulich viele Elemente in </w:t>
      </w:r>
      <w:r>
        <w:rPr>
          <w:i/>
          <w:iCs/>
          <w:lang w:val="de-DE"/>
        </w:rPr>
        <w:t>The Kin</w:t>
      </w:r>
      <w:r>
        <w:rPr>
          <w:i/>
          <w:iCs/>
          <w:lang w:val="de-DE"/>
        </w:rPr>
        <w:t xml:space="preserve">g </w:t>
      </w:r>
      <w:proofErr w:type="spellStart"/>
      <w:r>
        <w:rPr>
          <w:i/>
          <w:iCs/>
          <w:lang w:val="de-DE"/>
        </w:rPr>
        <w:t>of</w:t>
      </w:r>
      <w:proofErr w:type="spellEnd"/>
      <w:r>
        <w:rPr>
          <w:i/>
          <w:iCs/>
          <w:lang w:val="de-DE"/>
        </w:rPr>
        <w:t xml:space="preserve"> </w:t>
      </w:r>
      <w:proofErr w:type="spellStart"/>
      <w:r>
        <w:rPr>
          <w:i/>
          <w:iCs/>
          <w:lang w:val="de-DE"/>
        </w:rPr>
        <w:t>Denmark</w:t>
      </w:r>
      <w:proofErr w:type="spellEnd"/>
      <w:r>
        <w:rPr>
          <w:i/>
          <w:iCs/>
          <w:lang w:val="de-DE"/>
        </w:rPr>
        <w:t xml:space="preserve"> </w:t>
      </w:r>
      <w:r>
        <w:rPr>
          <w:lang w:val="de-DE"/>
        </w:rPr>
        <w:t>relativ viel Freiheit gelassen ist, ist das Stück ziemlich streng durchkomponiert, vor allem, im Sinne von (nicht traditionell notierten) Rhythmus, aber auch Dynamik ist klar definiert, sowie viele Spieltechniken (oder klangliche Resultate, di</w:t>
      </w:r>
      <w:r>
        <w:rPr>
          <w:lang w:val="de-DE"/>
        </w:rPr>
        <w:t xml:space="preserve">e bestimmte Spieltechniken hervorbringen sollten) und Instrumente/Instrumentengruppen. Dies schafft eine klangliche Einheit und hält das Stück im Fluss. Die </w:t>
      </w:r>
      <w:r w:rsidRPr="006D1766">
        <w:rPr>
          <w:highlight w:val="yellow"/>
          <w:lang w:val="de-DE"/>
        </w:rPr>
        <w:t>zufällig entdeckte graphische Notation</w:t>
      </w:r>
      <w:r>
        <w:rPr>
          <w:lang w:val="de-DE"/>
        </w:rPr>
        <w:t xml:space="preserve"> hat Feldman davor</w:t>
      </w:r>
      <w:r w:rsidR="002E641E">
        <w:rPr>
          <w:lang w:val="de-DE"/>
        </w:rPr>
        <w:t>,</w:t>
      </w:r>
      <w:r>
        <w:rPr>
          <w:lang w:val="de-DE"/>
        </w:rPr>
        <w:t xml:space="preserve"> aber auch weiter (bis er 1969 zurück zur p</w:t>
      </w:r>
      <w:r>
        <w:rPr>
          <w:lang w:val="de-DE"/>
        </w:rPr>
        <w:t xml:space="preserve">räzisen Notation zurückkehrte), </w:t>
      </w:r>
      <w:r w:rsidR="002E641E">
        <w:rPr>
          <w:lang w:val="de-DE"/>
        </w:rPr>
        <w:t xml:space="preserve">in Kombination </w:t>
      </w:r>
      <w:commentRangeStart w:id="10"/>
      <w:commentRangeEnd w:id="10"/>
      <w:r w:rsidR="006D1766">
        <w:rPr>
          <w:rStyle w:val="Kommentarzeichen"/>
          <w:rFonts w:cs="Mangal"/>
        </w:rPr>
        <w:commentReference w:id="10"/>
      </w:r>
      <w:r>
        <w:rPr>
          <w:lang w:val="de-DE"/>
        </w:rPr>
        <w:t xml:space="preserve">mit konventioneller Notation benutzt. Dies geschieht auch schon am Ende von </w:t>
      </w:r>
      <w:r>
        <w:rPr>
          <w:i/>
          <w:iCs/>
          <w:lang w:val="de-DE"/>
        </w:rPr>
        <w:t xml:space="preserve">The King </w:t>
      </w:r>
      <w:proofErr w:type="spellStart"/>
      <w:r>
        <w:rPr>
          <w:i/>
          <w:iCs/>
          <w:lang w:val="de-DE"/>
        </w:rPr>
        <w:t>of</w:t>
      </w:r>
      <w:proofErr w:type="spellEnd"/>
      <w:r>
        <w:rPr>
          <w:i/>
          <w:iCs/>
          <w:lang w:val="de-DE"/>
        </w:rPr>
        <w:t xml:space="preserve"> </w:t>
      </w:r>
      <w:proofErr w:type="spellStart"/>
      <w:r>
        <w:rPr>
          <w:i/>
          <w:iCs/>
          <w:lang w:val="de-DE"/>
        </w:rPr>
        <w:t>Denmark</w:t>
      </w:r>
      <w:proofErr w:type="spellEnd"/>
      <w:r>
        <w:rPr>
          <w:lang w:val="de-DE"/>
        </w:rPr>
        <w:t>: zwei letzte Klänge sind auf dem traditionellen Notensystem, innerhalb des rhythmischen Rasters, notiert.</w:t>
      </w:r>
    </w:p>
    <w:p w14:paraId="0DEC858C" w14:textId="77777777" w:rsidR="0065670E" w:rsidRDefault="0065670E">
      <w:pPr>
        <w:rPr>
          <w:lang w:val="de-DE"/>
        </w:rPr>
      </w:pPr>
    </w:p>
    <w:p w14:paraId="45CC0BEC" w14:textId="77777777" w:rsidR="0065670E" w:rsidRDefault="003D00ED">
      <w:pPr>
        <w:rPr>
          <w:b/>
          <w:bCs/>
          <w:lang w:val="de-DE"/>
        </w:rPr>
      </w:pPr>
      <w:r>
        <w:rPr>
          <w:b/>
          <w:bCs/>
          <w:lang w:val="de-DE"/>
        </w:rPr>
        <w:t>Ein stumme</w:t>
      </w:r>
      <w:r>
        <w:rPr>
          <w:b/>
          <w:bCs/>
          <w:lang w:val="de-DE"/>
        </w:rPr>
        <w:t xml:space="preserve">r Protest: </w:t>
      </w:r>
      <w:commentRangeStart w:id="11"/>
      <w:r>
        <w:rPr>
          <w:b/>
          <w:bCs/>
          <w:lang w:val="de-DE"/>
        </w:rPr>
        <w:t>Titelgeschichte</w:t>
      </w:r>
      <w:commentRangeEnd w:id="11"/>
      <w:r w:rsidR="006D1766">
        <w:rPr>
          <w:rStyle w:val="Kommentarzeichen"/>
          <w:rFonts w:cs="Mangal"/>
        </w:rPr>
        <w:commentReference w:id="11"/>
      </w:r>
    </w:p>
    <w:p w14:paraId="3FF24230" w14:textId="5349201B" w:rsidR="0065670E" w:rsidRPr="00522BBC" w:rsidRDefault="003D00ED">
      <w:pPr>
        <w:rPr>
          <w:lang w:val="de-DE"/>
        </w:rPr>
      </w:pPr>
      <w:r>
        <w:rPr>
          <w:lang w:val="de-DE"/>
        </w:rPr>
        <w:t>Eine interessante Geschichte umgibt den Titel des Stückes. Feldman sagt, dass er zu den kam, wenn das Stück schon fertig komponiert wurde und obwohl der Titel eine Metapher für die Legende des Dänischen Königs Christian X, der ge</w:t>
      </w:r>
      <w:r>
        <w:rPr>
          <w:lang w:val="de-DE"/>
        </w:rPr>
        <w:t>gen die Judenverfolgung im Land protestierend auf den Straßen Kopenhagens mit de</w:t>
      </w:r>
      <w:r w:rsidR="00FE64F0">
        <w:rPr>
          <w:lang w:val="de-DE"/>
        </w:rPr>
        <w:t>m</w:t>
      </w:r>
      <w:r>
        <w:rPr>
          <w:lang w:val="de-DE"/>
        </w:rPr>
        <w:t xml:space="preserve"> Juden-Stern an der Jacke ritt, ist, weiß der Komponist selber nicht ganz genau, wieso er diesen Titel in Verbindung mit seinen Ideen gebracht hat: </w:t>
      </w:r>
    </w:p>
    <w:p w14:paraId="4BE20307" w14:textId="77777777" w:rsidR="0065670E" w:rsidRDefault="0065670E">
      <w:pPr>
        <w:rPr>
          <w:lang w:val="de-DE"/>
        </w:rPr>
      </w:pPr>
    </w:p>
    <w:p w14:paraId="389B0A58" w14:textId="77777777" w:rsidR="0065670E" w:rsidRDefault="003D00ED">
      <w:pPr>
        <w:pStyle w:val="Quotations"/>
        <w:rPr>
          <w:sz w:val="20"/>
          <w:szCs w:val="20"/>
        </w:rPr>
      </w:pPr>
      <w:r w:rsidRPr="00522BBC">
        <w:rPr>
          <w:sz w:val="20"/>
          <w:szCs w:val="20"/>
        </w:rPr>
        <w:t>„There was something abou</w:t>
      </w:r>
      <w:r w:rsidRPr="00522BBC">
        <w:rPr>
          <w:sz w:val="20"/>
          <w:szCs w:val="20"/>
        </w:rPr>
        <w:t xml:space="preserve">t the wistfulness of things not lasting, of impermanence, and of being absolutely quiet. </w:t>
      </w:r>
      <w:r>
        <w:rPr>
          <w:sz w:val="20"/>
          <w:szCs w:val="20"/>
        </w:rPr>
        <w:t xml:space="preserve">How it lead to the metaphor, </w:t>
      </w:r>
      <w:r>
        <w:rPr>
          <w:i/>
          <w:iCs/>
          <w:sz w:val="20"/>
          <w:szCs w:val="20"/>
        </w:rPr>
        <w:t>The King of Denmark</w:t>
      </w:r>
      <w:r>
        <w:rPr>
          <w:sz w:val="20"/>
          <w:szCs w:val="20"/>
        </w:rPr>
        <w:t xml:space="preserve">, which is on a much more serious level, I don't </w:t>
      </w:r>
      <w:proofErr w:type="gramStart"/>
      <w:r>
        <w:rPr>
          <w:sz w:val="20"/>
          <w:szCs w:val="20"/>
        </w:rPr>
        <w:t>know.“</w:t>
      </w:r>
      <w:proofErr w:type="gramEnd"/>
      <w:r>
        <w:rPr>
          <w:rStyle w:val="FootnoteAnchor"/>
          <w:sz w:val="20"/>
          <w:szCs w:val="20"/>
          <w:lang w:val="de-DE"/>
        </w:rPr>
        <w:footnoteReference w:id="8"/>
      </w:r>
      <w:r>
        <w:rPr>
          <w:sz w:val="20"/>
          <w:szCs w:val="20"/>
        </w:rPr>
        <w:t xml:space="preserve"> </w:t>
      </w:r>
    </w:p>
    <w:p w14:paraId="2EE8B3E7" w14:textId="77777777" w:rsidR="0065670E" w:rsidRPr="00522BBC" w:rsidRDefault="003D00ED">
      <w:pPr>
        <w:rPr>
          <w:lang w:val="de-DE"/>
        </w:rPr>
      </w:pPr>
      <w:r>
        <w:rPr>
          <w:lang w:val="de-DE"/>
        </w:rPr>
        <w:lastRenderedPageBreak/>
        <w:t>Der US-amerikanischer Musikkritiker Alex Ross in dem Artikel</w:t>
      </w:r>
      <w:r>
        <w:rPr>
          <w:lang w:val="de-DE"/>
        </w:rPr>
        <w:t xml:space="preserve"> über Morton Feldman in seinem Buch </w:t>
      </w:r>
      <w:r>
        <w:rPr>
          <w:i/>
          <w:iCs/>
          <w:lang w:val="de-DE"/>
        </w:rPr>
        <w:t xml:space="preserve">The Rest </w:t>
      </w:r>
      <w:proofErr w:type="spellStart"/>
      <w:r>
        <w:rPr>
          <w:i/>
          <w:iCs/>
          <w:lang w:val="de-DE"/>
        </w:rPr>
        <w:t>is</w:t>
      </w:r>
      <w:proofErr w:type="spellEnd"/>
      <w:r>
        <w:rPr>
          <w:i/>
          <w:iCs/>
          <w:lang w:val="de-DE"/>
        </w:rPr>
        <w:t xml:space="preserve"> Noise </w:t>
      </w:r>
      <w:r>
        <w:rPr>
          <w:lang w:val="de-DE"/>
        </w:rPr>
        <w:t>meint, dass der Holocaust ein „beherrschendes Element“</w:t>
      </w:r>
      <w:r>
        <w:rPr>
          <w:rStyle w:val="FootnoteAnchor"/>
          <w:lang w:val="de-DE"/>
        </w:rPr>
        <w:footnoteReference w:id="9"/>
      </w:r>
      <w:r>
        <w:rPr>
          <w:lang w:val="de-DE"/>
        </w:rPr>
        <w:t xml:space="preserve"> von dem Denken Feldmans, der selbst aus der russisch-jüdischen Familie stammte, war. So, wie Feldman die Legende als stummer Protest interpretiert</w:t>
      </w:r>
      <w:r>
        <w:rPr>
          <w:rStyle w:val="FootnoteAnchor"/>
          <w:lang w:val="de-DE"/>
        </w:rPr>
        <w:footnoteReference w:id="10"/>
      </w:r>
      <w:r>
        <w:rPr>
          <w:lang w:val="de-DE"/>
        </w:rPr>
        <w:t xml:space="preserve">, so meint Ross über Feldman: </w:t>
      </w:r>
    </w:p>
    <w:p w14:paraId="304A67E8" w14:textId="77777777" w:rsidR="0065670E" w:rsidRDefault="0065670E">
      <w:pPr>
        <w:rPr>
          <w:lang w:val="de-DE"/>
        </w:rPr>
      </w:pPr>
    </w:p>
    <w:p w14:paraId="3180F198" w14:textId="77777777" w:rsidR="0065670E" w:rsidRPr="00522BBC" w:rsidRDefault="003D00ED">
      <w:pPr>
        <w:pStyle w:val="Quotations"/>
        <w:rPr>
          <w:sz w:val="20"/>
          <w:szCs w:val="20"/>
          <w:lang w:val="de-DE"/>
        </w:rPr>
      </w:pPr>
      <w:r w:rsidRPr="00522BBC">
        <w:rPr>
          <w:sz w:val="20"/>
          <w:szCs w:val="20"/>
          <w:lang w:val="de-DE"/>
        </w:rPr>
        <w:t xml:space="preserve">„Seine ganze Musik war ein stummer Protest, ein Lossagen </w:t>
      </w:r>
      <w:proofErr w:type="gramStart"/>
      <w:r w:rsidRPr="00522BBC">
        <w:rPr>
          <w:sz w:val="20"/>
          <w:szCs w:val="20"/>
          <w:lang w:val="de-DE"/>
        </w:rPr>
        <w:t>von der europäisch</w:t>
      </w:r>
      <w:r w:rsidRPr="00522BBC">
        <w:rPr>
          <w:sz w:val="20"/>
          <w:szCs w:val="20"/>
          <w:lang w:val="de-DE"/>
        </w:rPr>
        <w:t>en Welt</w:t>
      </w:r>
      <w:proofErr w:type="gramEnd"/>
      <w:r w:rsidRPr="00522BBC">
        <w:rPr>
          <w:sz w:val="20"/>
          <w:szCs w:val="20"/>
          <w:lang w:val="de-DE"/>
        </w:rPr>
        <w:t xml:space="preserve"> und ihren Geistern der Vergangenheit.“</w:t>
      </w:r>
      <w:r>
        <w:rPr>
          <w:rStyle w:val="FootnoteAnchor"/>
          <w:sz w:val="20"/>
          <w:szCs w:val="20"/>
        </w:rPr>
        <w:footnoteReference w:id="11"/>
      </w:r>
      <w:r w:rsidRPr="00522BBC">
        <w:rPr>
          <w:sz w:val="20"/>
          <w:szCs w:val="20"/>
          <w:lang w:val="de-DE"/>
        </w:rPr>
        <w:t xml:space="preserve"> </w:t>
      </w:r>
    </w:p>
    <w:p w14:paraId="3AC1248B" w14:textId="77777777" w:rsidR="0065670E" w:rsidRDefault="0065670E">
      <w:pPr>
        <w:rPr>
          <w:lang w:val="de-DE"/>
        </w:rPr>
      </w:pPr>
    </w:p>
    <w:p w14:paraId="1EA3B78C" w14:textId="77777777" w:rsidR="0065670E" w:rsidRPr="00522BBC" w:rsidRDefault="003D00ED">
      <w:pPr>
        <w:rPr>
          <w:lang w:val="de-DE"/>
        </w:rPr>
      </w:pPr>
      <w:r>
        <w:rPr>
          <w:lang w:val="de-DE"/>
        </w:rPr>
        <w:t xml:space="preserve">Zumindest in Anbetracht der leisesten </w:t>
      </w:r>
      <w:proofErr w:type="gramStart"/>
      <w:r>
        <w:rPr>
          <w:lang w:val="de-DE"/>
        </w:rPr>
        <w:t>bis möglichst leisen Dynamik</w:t>
      </w:r>
      <w:proofErr w:type="gramEnd"/>
      <w:r>
        <w:rPr>
          <w:lang w:val="de-DE"/>
        </w:rPr>
        <w:t xml:space="preserve"> in der Mehrheit seiner Werke (so auch in </w:t>
      </w:r>
      <w:r>
        <w:rPr>
          <w:i/>
          <w:iCs/>
          <w:lang w:val="de-DE"/>
        </w:rPr>
        <w:t xml:space="preserve">The King </w:t>
      </w:r>
      <w:proofErr w:type="spellStart"/>
      <w:r>
        <w:rPr>
          <w:i/>
          <w:iCs/>
          <w:lang w:val="de-DE"/>
        </w:rPr>
        <w:t>of</w:t>
      </w:r>
      <w:proofErr w:type="spellEnd"/>
      <w:r>
        <w:rPr>
          <w:i/>
          <w:iCs/>
          <w:lang w:val="de-DE"/>
        </w:rPr>
        <w:t xml:space="preserve"> </w:t>
      </w:r>
      <w:proofErr w:type="spellStart"/>
      <w:r>
        <w:rPr>
          <w:i/>
          <w:iCs/>
          <w:lang w:val="de-DE"/>
        </w:rPr>
        <w:t>Denmark</w:t>
      </w:r>
      <w:proofErr w:type="spellEnd"/>
      <w:r>
        <w:rPr>
          <w:lang w:val="de-DE"/>
        </w:rPr>
        <w:t>, wo dies auch durch die Spielweise ohne Schlägel verstärkt ist),</w:t>
      </w:r>
      <w:r>
        <w:rPr>
          <w:i/>
          <w:iCs/>
          <w:lang w:val="de-DE"/>
        </w:rPr>
        <w:t xml:space="preserve"> </w:t>
      </w:r>
      <w:r>
        <w:rPr>
          <w:lang w:val="de-DE"/>
        </w:rPr>
        <w:t>könnte man d</w:t>
      </w:r>
      <w:r>
        <w:rPr>
          <w:lang w:val="de-DE"/>
        </w:rPr>
        <w:t>as auch so interpretieren.</w:t>
      </w:r>
    </w:p>
    <w:sectPr w:rsidR="0065670E" w:rsidRPr="00522BBC">
      <w:pgSz w:w="11906" w:h="16838"/>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alter Faber" w:date="2020-05-07T13:36:00Z" w:initials="WF">
    <w:p w14:paraId="6F701024" w14:textId="77777777" w:rsidR="00522BBC" w:rsidRDefault="00522BBC">
      <w:pPr>
        <w:pStyle w:val="Kommentartext"/>
        <w:rPr>
          <w:rFonts w:hint="eastAsia"/>
        </w:rPr>
      </w:pPr>
      <w:r>
        <w:rPr>
          <w:rStyle w:val="Kommentarzeichen"/>
          <w:rFonts w:hint="eastAsia"/>
        </w:rPr>
        <w:annotationRef/>
      </w:r>
      <w:proofErr w:type="spellStart"/>
      <w:r>
        <w:rPr>
          <w:rFonts w:hint="eastAsia"/>
        </w:rPr>
        <w:t>E</w:t>
      </w:r>
      <w:r>
        <w:t>inordnung</w:t>
      </w:r>
      <w:proofErr w:type="spellEnd"/>
      <w:r>
        <w:t xml:space="preserve"> </w:t>
      </w:r>
      <w:proofErr w:type="spellStart"/>
      <w:r>
        <w:t>als</w:t>
      </w:r>
      <w:proofErr w:type="spellEnd"/>
      <w:r>
        <w:t xml:space="preserve"> </w:t>
      </w:r>
      <w:proofErr w:type="spellStart"/>
      <w:r>
        <w:t>besonders</w:t>
      </w:r>
      <w:proofErr w:type="spellEnd"/>
      <w:r>
        <w:t xml:space="preserve"> 2. Info</w:t>
      </w:r>
    </w:p>
  </w:comment>
  <w:comment w:id="2" w:author="Walter Faber" w:date="2020-05-07T13:37:00Z" w:initials="WF">
    <w:p w14:paraId="39281A15" w14:textId="77777777" w:rsidR="00522BBC" w:rsidRDefault="00522BBC">
      <w:pPr>
        <w:pStyle w:val="Kommentartext"/>
        <w:rPr>
          <w:rFonts w:hint="eastAsia"/>
        </w:rPr>
      </w:pPr>
      <w:r>
        <w:rPr>
          <w:rStyle w:val="Kommentarzeichen"/>
          <w:rFonts w:hint="eastAsia"/>
        </w:rPr>
        <w:annotationRef/>
      </w:r>
      <w:proofErr w:type="spellStart"/>
      <w:r>
        <w:rPr>
          <w:rFonts w:hint="eastAsia"/>
        </w:rPr>
        <w:t>S</w:t>
      </w:r>
      <w:r>
        <w:t>ondern</w:t>
      </w:r>
      <w:proofErr w:type="spellEnd"/>
      <w:r>
        <w:t>. 2. Info</w:t>
      </w:r>
    </w:p>
  </w:comment>
  <w:comment w:id="3" w:author="Walter Faber" w:date="2020-05-07T13:38:00Z" w:initials="WF">
    <w:p w14:paraId="527D6BC6" w14:textId="77777777" w:rsidR="00522BBC" w:rsidRDefault="00522BBC">
      <w:pPr>
        <w:pStyle w:val="Kommentartext"/>
        <w:rPr>
          <w:rFonts w:hint="eastAsia"/>
        </w:rPr>
      </w:pPr>
      <w:r>
        <w:rPr>
          <w:rStyle w:val="Kommentarzeichen"/>
          <w:rFonts w:hint="eastAsia"/>
        </w:rPr>
        <w:annotationRef/>
      </w:r>
      <w:r>
        <w:t>Sb</w:t>
      </w:r>
    </w:p>
  </w:comment>
  <w:comment w:id="4" w:author="Walter Faber" w:date="2020-05-07T13:39:00Z" w:initials="WF">
    <w:p w14:paraId="309C6418" w14:textId="77777777" w:rsidR="00522BBC" w:rsidRDefault="00522BBC">
      <w:pPr>
        <w:pStyle w:val="Kommentartext"/>
        <w:rPr>
          <w:rFonts w:hint="eastAsia"/>
        </w:rPr>
      </w:pPr>
      <w:r>
        <w:rPr>
          <w:rStyle w:val="Kommentarzeichen"/>
          <w:rFonts w:hint="eastAsia"/>
        </w:rPr>
        <w:annotationRef/>
      </w:r>
      <w:r>
        <w:t xml:space="preserve">Sb </w:t>
      </w:r>
      <w:proofErr w:type="spellStart"/>
      <w:r>
        <w:t>Rhetorik</w:t>
      </w:r>
      <w:proofErr w:type="spellEnd"/>
    </w:p>
  </w:comment>
  <w:comment w:id="5" w:author="Walter Faber" w:date="2020-05-07T13:40:00Z" w:initials="WF">
    <w:p w14:paraId="7AB8CC66" w14:textId="77777777" w:rsidR="00522BBC" w:rsidRDefault="00522BBC">
      <w:pPr>
        <w:pStyle w:val="Kommentartext"/>
        <w:rPr>
          <w:rFonts w:hint="eastAsia"/>
        </w:rPr>
      </w:pPr>
      <w:r>
        <w:rPr>
          <w:rStyle w:val="Kommentarzeichen"/>
          <w:rFonts w:hint="eastAsia"/>
        </w:rPr>
        <w:annotationRef/>
      </w:r>
      <w:proofErr w:type="spellStart"/>
      <w:r>
        <w:rPr>
          <w:rFonts w:hint="eastAsia"/>
        </w:rPr>
        <w:t>E</w:t>
      </w:r>
      <w:r>
        <w:t>vtl</w:t>
      </w:r>
      <w:proofErr w:type="spellEnd"/>
      <w:r>
        <w:t xml:space="preserve">. </w:t>
      </w:r>
      <w:proofErr w:type="spellStart"/>
      <w:r>
        <w:rPr>
          <w:rFonts w:hint="eastAsia"/>
        </w:rPr>
        <w:t>E</w:t>
      </w:r>
      <w:r>
        <w:t>rklären</w:t>
      </w:r>
      <w:proofErr w:type="spellEnd"/>
      <w:r>
        <w:t>?</w:t>
      </w:r>
    </w:p>
  </w:comment>
  <w:comment w:id="6" w:author="Walter Faber" w:date="2020-05-07T13:43:00Z" w:initials="WF">
    <w:p w14:paraId="1E866389" w14:textId="77777777" w:rsidR="00522BBC" w:rsidRDefault="00522BBC">
      <w:pPr>
        <w:pStyle w:val="Kommentartext"/>
        <w:rPr>
          <w:rFonts w:hint="eastAsia"/>
        </w:rPr>
      </w:pPr>
      <w:r>
        <w:rPr>
          <w:rStyle w:val="Kommentarzeichen"/>
          <w:rFonts w:hint="eastAsia"/>
        </w:rPr>
        <w:annotationRef/>
      </w:r>
      <w:r>
        <w:t>Sb</w:t>
      </w:r>
    </w:p>
  </w:comment>
  <w:comment w:id="7" w:author="Walter Faber" w:date="2020-05-07T14:41:00Z" w:initials="WF">
    <w:p w14:paraId="77D9EC6F" w14:textId="1C29D768" w:rsidR="00D90681" w:rsidRPr="00D90681" w:rsidRDefault="00D90681">
      <w:pPr>
        <w:pStyle w:val="Kommentartext"/>
        <w:rPr>
          <w:rFonts w:hint="eastAsia"/>
          <w:lang w:val="de-DE"/>
        </w:rPr>
      </w:pPr>
      <w:r>
        <w:rPr>
          <w:rStyle w:val="Kommentarzeichen"/>
          <w:rFonts w:hint="eastAsia"/>
        </w:rPr>
        <w:annotationRef/>
      </w:r>
      <w:r w:rsidRPr="00D90681">
        <w:rPr>
          <w:lang w:val="de-DE"/>
        </w:rPr>
        <w:t>2 Sätze Machen</w:t>
      </w:r>
    </w:p>
  </w:comment>
  <w:comment w:id="8" w:author="Walter Faber" w:date="2020-05-07T13:44:00Z" w:initials="WF">
    <w:p w14:paraId="2F73913A" w14:textId="77777777" w:rsidR="00522BBC" w:rsidRPr="00D90681" w:rsidRDefault="00522BBC">
      <w:pPr>
        <w:pStyle w:val="Kommentartext"/>
        <w:rPr>
          <w:rFonts w:hint="eastAsia"/>
          <w:lang w:val="de-DE"/>
        </w:rPr>
      </w:pPr>
      <w:r>
        <w:rPr>
          <w:rStyle w:val="Kommentarzeichen"/>
          <w:rFonts w:hint="eastAsia"/>
        </w:rPr>
        <w:annotationRef/>
      </w:r>
      <w:proofErr w:type="spellStart"/>
      <w:r w:rsidRPr="00D90681">
        <w:rPr>
          <w:rFonts w:hint="eastAsia"/>
          <w:lang w:val="de-DE"/>
        </w:rPr>
        <w:t>H</w:t>
      </w:r>
      <w:r w:rsidRPr="00D90681">
        <w:rPr>
          <w:lang w:val="de-DE"/>
        </w:rPr>
        <w:t>mm</w:t>
      </w:r>
      <w:proofErr w:type="spellEnd"/>
      <w:r w:rsidRPr="00D90681">
        <w:rPr>
          <w:lang w:val="de-DE"/>
        </w:rPr>
        <w:t xml:space="preserve"> besseres </w:t>
      </w:r>
      <w:proofErr w:type="spellStart"/>
      <w:r w:rsidRPr="00D90681">
        <w:rPr>
          <w:lang w:val="de-DE"/>
        </w:rPr>
        <w:t>WOrt</w:t>
      </w:r>
      <w:proofErr w:type="spellEnd"/>
    </w:p>
  </w:comment>
  <w:comment w:id="10" w:author="Walter Faber" w:date="2020-05-07T13:52:00Z" w:initials="WF">
    <w:p w14:paraId="7F972E2A" w14:textId="77777777" w:rsidR="006D1766" w:rsidRPr="00D90681" w:rsidRDefault="006D1766">
      <w:pPr>
        <w:pStyle w:val="Kommentartext"/>
        <w:rPr>
          <w:rFonts w:hint="eastAsia"/>
          <w:lang w:val="de-DE"/>
        </w:rPr>
      </w:pPr>
      <w:r>
        <w:rPr>
          <w:rStyle w:val="Kommentarzeichen"/>
          <w:rFonts w:hint="eastAsia"/>
        </w:rPr>
        <w:annotationRef/>
      </w:r>
      <w:r w:rsidRPr="00D90681">
        <w:rPr>
          <w:rFonts w:hint="eastAsia"/>
          <w:lang w:val="de-DE"/>
        </w:rPr>
        <w:t>I</w:t>
      </w:r>
      <w:r w:rsidRPr="00D90681">
        <w:rPr>
          <w:lang w:val="de-DE"/>
        </w:rPr>
        <w:t>n Kombination mit</w:t>
      </w:r>
    </w:p>
  </w:comment>
  <w:comment w:id="11" w:author="Walter Faber" w:date="2020-05-07T13:52:00Z" w:initials="WF">
    <w:p w14:paraId="65D30820" w14:textId="4EA63315" w:rsidR="006D1766" w:rsidRPr="006D1766" w:rsidRDefault="006D1766">
      <w:pPr>
        <w:pStyle w:val="Kommentartext"/>
        <w:rPr>
          <w:rFonts w:hint="eastAsia"/>
          <w:lang w:val="de-DE"/>
        </w:rPr>
      </w:pPr>
      <w:r>
        <w:rPr>
          <w:rStyle w:val="Kommentarzeichen"/>
          <w:rFonts w:hint="eastAsia"/>
        </w:rPr>
        <w:annotationRef/>
      </w:r>
      <w:r w:rsidRPr="006D1766">
        <w:rPr>
          <w:lang w:val="de-DE"/>
        </w:rPr>
        <w:t>Zum Titel „K o D</w:t>
      </w:r>
      <w:r w:rsidR="00FE64F0">
        <w:rPr>
          <w:lang w:val="de-D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701024" w15:done="0"/>
  <w15:commentEx w15:paraId="39281A15" w15:done="0"/>
  <w15:commentEx w15:paraId="527D6BC6" w15:done="0"/>
  <w15:commentEx w15:paraId="309C6418" w15:done="0"/>
  <w15:commentEx w15:paraId="7AB8CC66" w15:done="0"/>
  <w15:commentEx w15:paraId="1E866389" w15:done="0"/>
  <w15:commentEx w15:paraId="77D9EC6F" w15:done="0"/>
  <w15:commentEx w15:paraId="2F73913A" w15:done="0"/>
  <w15:commentEx w15:paraId="7F972E2A" w15:done="0"/>
  <w15:commentEx w15:paraId="65D308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701024" w16cid:durableId="225E8D6F"/>
  <w16cid:commentId w16cid:paraId="39281A15" w16cid:durableId="225E8DA4"/>
  <w16cid:commentId w16cid:paraId="527D6BC6" w16cid:durableId="225E8DD3"/>
  <w16cid:commentId w16cid:paraId="309C6418" w16cid:durableId="225E8E23"/>
  <w16cid:commentId w16cid:paraId="7AB8CC66" w16cid:durableId="225E8E5B"/>
  <w16cid:commentId w16cid:paraId="1E866389" w16cid:durableId="225E8EE4"/>
  <w16cid:commentId w16cid:paraId="77D9EC6F" w16cid:durableId="225E9C99"/>
  <w16cid:commentId w16cid:paraId="2F73913A" w16cid:durableId="225E8F4E"/>
  <w16cid:commentId w16cid:paraId="7F972E2A" w16cid:durableId="225E9112"/>
  <w16cid:commentId w16cid:paraId="65D30820" w16cid:durableId="225E91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A87A9" w14:textId="77777777" w:rsidR="003D00ED" w:rsidRDefault="003D00ED">
      <w:r>
        <w:separator/>
      </w:r>
    </w:p>
  </w:endnote>
  <w:endnote w:type="continuationSeparator" w:id="0">
    <w:p w14:paraId="7284F171" w14:textId="77777777" w:rsidR="003D00ED" w:rsidRDefault="003D0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default"/>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5D45E" w14:textId="77777777" w:rsidR="003D00ED" w:rsidRDefault="003D00ED">
      <w:r>
        <w:separator/>
      </w:r>
    </w:p>
  </w:footnote>
  <w:footnote w:type="continuationSeparator" w:id="0">
    <w:p w14:paraId="56EA5FDF" w14:textId="77777777" w:rsidR="003D00ED" w:rsidRDefault="003D00ED">
      <w:r>
        <w:continuationSeparator/>
      </w:r>
    </w:p>
  </w:footnote>
  <w:footnote w:id="1">
    <w:p w14:paraId="7A31FF24" w14:textId="77777777" w:rsidR="0065670E" w:rsidRDefault="003D00ED">
      <w:pPr>
        <w:pStyle w:val="Funotentext"/>
      </w:pPr>
      <w:r>
        <w:rPr>
          <w:rStyle w:val="FootnoteCharacters"/>
        </w:rPr>
        <w:footnoteRef/>
      </w:r>
      <w:r>
        <w:tab/>
        <w:t xml:space="preserve">Williams, Jan (1983): </w:t>
      </w:r>
      <w:r>
        <w:rPr>
          <w:rFonts w:ascii="Times New Roman" w:hAnsi="Times New Roman"/>
          <w:i/>
          <w:iCs/>
          <w:color w:val="000000"/>
        </w:rPr>
        <w:t xml:space="preserve">An Interview with Morton Feldman, 22nd April 1983. </w:t>
      </w:r>
      <w:r>
        <w:t xml:space="preserve">In: </w:t>
      </w:r>
      <w:r>
        <w:rPr>
          <w:i/>
          <w:iCs/>
        </w:rPr>
        <w:t>Percussive Notes Research Edition</w:t>
      </w:r>
      <w:r>
        <w:t xml:space="preserve"> 21/6, S.4–14. (</w:t>
      </w:r>
      <w:hyperlink r:id="rId1">
        <w:r>
          <w:rPr>
            <w:rStyle w:val="VisitedInternetLink"/>
          </w:rPr>
          <w:t>https://www.cnvill.net/mfjw1.htm</w:t>
        </w:r>
      </w:hyperlink>
      <w:r>
        <w:t>)</w:t>
      </w:r>
    </w:p>
  </w:footnote>
  <w:footnote w:id="2">
    <w:p w14:paraId="6B16067B" w14:textId="77777777" w:rsidR="0065670E" w:rsidRDefault="003D00ED">
      <w:pPr>
        <w:pStyle w:val="Funotentext"/>
      </w:pPr>
      <w:r>
        <w:rPr>
          <w:rStyle w:val="FootnoteCharacters"/>
        </w:rPr>
        <w:footnoteRef/>
      </w:r>
      <w:r>
        <w:tab/>
      </w:r>
      <w:proofErr w:type="spellStart"/>
      <w:r>
        <w:t>Ebd</w:t>
      </w:r>
      <w:proofErr w:type="spellEnd"/>
      <w:r>
        <w:t>.</w:t>
      </w:r>
    </w:p>
  </w:footnote>
  <w:footnote w:id="3">
    <w:p w14:paraId="47038702" w14:textId="77777777" w:rsidR="0065670E" w:rsidRDefault="003D00ED">
      <w:pPr>
        <w:pStyle w:val="Funotentext"/>
      </w:pPr>
      <w:r>
        <w:rPr>
          <w:rStyle w:val="FootnoteCharacters"/>
        </w:rPr>
        <w:footnoteRef/>
      </w:r>
      <w:r>
        <w:tab/>
        <w:t xml:space="preserve">“In the second or third session, he was still insisting, 'no, it's too loud, too loud'. I suddenly remembered how, as percussion students, we used to practice our </w:t>
      </w:r>
      <w:r>
        <w:t>parts on stage just before a concert started. In order that the audience not hear us, we used our fingers instead of sticks. I put down my sticks and started to play with just my fingers. Morty was dumbstruck, 'that's it, that's it!' he yelled.”</w:t>
      </w:r>
      <w:r>
        <w:br/>
        <w:t>Neuhaus, M</w:t>
      </w:r>
      <w:r>
        <w:t xml:space="preserve">ax (2004): </w:t>
      </w:r>
      <w:r>
        <w:rPr>
          <w:i/>
          <w:iCs/>
        </w:rPr>
        <w:t>Morton Feldman, The King of Denmark (Realization date, 1964)</w:t>
      </w:r>
      <w:r>
        <w:t xml:space="preserve">. Booklet </w:t>
      </w:r>
      <w:proofErr w:type="spellStart"/>
      <w:r>
        <w:t>zur</w:t>
      </w:r>
      <w:proofErr w:type="spellEnd"/>
      <w:r>
        <w:t xml:space="preserve"> CD </w:t>
      </w:r>
      <w:r>
        <w:rPr>
          <w:i/>
          <w:iCs/>
        </w:rPr>
        <w:t xml:space="preserve">"The New York School: Nine Realizations by Max Neuhaus", </w:t>
      </w:r>
      <w:r>
        <w:t xml:space="preserve">Alga </w:t>
      </w:r>
      <w:proofErr w:type="spellStart"/>
      <w:r>
        <w:t>Marghen</w:t>
      </w:r>
      <w:proofErr w:type="spellEnd"/>
      <w:r>
        <w:t xml:space="preserve"> Label. (Quelle: </w:t>
      </w:r>
      <w:hyperlink r:id="rId2">
        <w:r>
          <w:rPr>
            <w:rStyle w:val="InternetLink"/>
          </w:rPr>
          <w:t>https://www.cnvill.net/mfn</w:t>
        </w:r>
        <w:r>
          <w:rPr>
            <w:rStyle w:val="InternetLink"/>
          </w:rPr>
          <w:t>euhaus.htm</w:t>
        </w:r>
      </w:hyperlink>
      <w:r>
        <w:t>)</w:t>
      </w:r>
    </w:p>
  </w:footnote>
  <w:footnote w:id="4">
    <w:p w14:paraId="6D5F27F9" w14:textId="77777777" w:rsidR="0065670E" w:rsidRDefault="003D00ED">
      <w:pPr>
        <w:pStyle w:val="Funotentext"/>
      </w:pPr>
      <w:r>
        <w:rPr>
          <w:rStyle w:val="FootnoteCharacters"/>
        </w:rPr>
        <w:footnoteRef/>
      </w:r>
      <w:r>
        <w:tab/>
        <w:t xml:space="preserve">Williams, Jan (1983): </w:t>
      </w:r>
      <w:r>
        <w:rPr>
          <w:rFonts w:ascii="Times New Roman" w:hAnsi="Times New Roman"/>
          <w:i/>
          <w:iCs/>
          <w:color w:val="000000"/>
        </w:rPr>
        <w:t xml:space="preserve">An Interview with Morton Feldman, 22nd April 1983. </w:t>
      </w:r>
      <w:r>
        <w:t xml:space="preserve">In: </w:t>
      </w:r>
      <w:r>
        <w:rPr>
          <w:i/>
          <w:iCs/>
        </w:rPr>
        <w:t>Percussive Notes</w:t>
      </w:r>
      <w:r>
        <w:t xml:space="preserve"> </w:t>
      </w:r>
      <w:r>
        <w:rPr>
          <w:i/>
          <w:iCs/>
        </w:rPr>
        <w:t>Research Edition</w:t>
      </w:r>
      <w:r>
        <w:t xml:space="preserve"> 21/6, S.4-14. (</w:t>
      </w:r>
      <w:hyperlink r:id="rId3">
        <w:r>
          <w:rPr>
            <w:rStyle w:val="VisitedInternetLink"/>
          </w:rPr>
          <w:t>https://www.cnvill.net/mfjw1.htm</w:t>
        </w:r>
      </w:hyperlink>
      <w:r>
        <w:t xml:space="preserve">) </w:t>
      </w:r>
    </w:p>
  </w:footnote>
  <w:footnote w:id="5">
    <w:p w14:paraId="768D69E6" w14:textId="77777777" w:rsidR="0065670E" w:rsidRDefault="003D00ED">
      <w:pPr>
        <w:pStyle w:val="Funotentext"/>
      </w:pPr>
      <w:r>
        <w:rPr>
          <w:rStyle w:val="FootnoteCharacters"/>
        </w:rPr>
        <w:footnoteRef/>
      </w:r>
      <w:r>
        <w:tab/>
      </w:r>
      <w:proofErr w:type="spellStart"/>
      <w:r>
        <w:t>Ebd</w:t>
      </w:r>
      <w:proofErr w:type="spellEnd"/>
      <w:r>
        <w:t xml:space="preserve">. </w:t>
      </w:r>
    </w:p>
  </w:footnote>
  <w:footnote w:id="6">
    <w:p w14:paraId="2A2492DE" w14:textId="77777777" w:rsidR="0065670E" w:rsidRDefault="003D00ED">
      <w:pPr>
        <w:pStyle w:val="Funotentext"/>
      </w:pPr>
      <w:r>
        <w:rPr>
          <w:rStyle w:val="FootnoteCharacters"/>
        </w:rPr>
        <w:footnoteRef/>
      </w:r>
      <w:r>
        <w:tab/>
      </w:r>
      <w:r>
        <w:t xml:space="preserve">Williams, Jan (1983): </w:t>
      </w:r>
      <w:r>
        <w:rPr>
          <w:rFonts w:ascii="Times New Roman" w:hAnsi="Times New Roman"/>
          <w:i/>
          <w:iCs/>
          <w:color w:val="000000"/>
        </w:rPr>
        <w:t xml:space="preserve">An Interview with Morton Feldman, 22nd April 1983. </w:t>
      </w:r>
      <w:r>
        <w:t xml:space="preserve">In: </w:t>
      </w:r>
      <w:r>
        <w:rPr>
          <w:i/>
          <w:iCs/>
        </w:rPr>
        <w:t>Percussive Notes</w:t>
      </w:r>
      <w:r>
        <w:t xml:space="preserve"> </w:t>
      </w:r>
      <w:r>
        <w:rPr>
          <w:i/>
          <w:iCs/>
        </w:rPr>
        <w:t>Research Edition</w:t>
      </w:r>
      <w:r>
        <w:t xml:space="preserve"> 21/6, S.4-14. (</w:t>
      </w:r>
      <w:hyperlink r:id="rId4">
        <w:r>
          <w:rPr>
            <w:rStyle w:val="VisitedInternetLink"/>
          </w:rPr>
          <w:t>https://www.cnvill.net/mfjw1.htm</w:t>
        </w:r>
      </w:hyperlink>
      <w:r>
        <w:t xml:space="preserve">) </w:t>
      </w:r>
    </w:p>
  </w:footnote>
  <w:footnote w:id="7">
    <w:p w14:paraId="5823214B" w14:textId="77777777" w:rsidR="0065670E" w:rsidRDefault="003D00ED">
      <w:pPr>
        <w:pStyle w:val="Funotentext"/>
      </w:pPr>
      <w:r>
        <w:rPr>
          <w:rStyle w:val="FootnoteCharacters"/>
        </w:rPr>
        <w:footnoteRef/>
      </w:r>
      <w:r>
        <w:tab/>
        <w:t xml:space="preserve">“Like a pocket </w:t>
      </w:r>
      <w:r>
        <w:rPr>
          <w:i/>
          <w:iCs/>
        </w:rPr>
        <w:t>King of Denmark</w:t>
      </w:r>
      <w:r>
        <w:t xml:space="preserve">.” (Morton </w:t>
      </w:r>
      <w:r>
        <w:t xml:space="preserve">Feldman) </w:t>
      </w:r>
      <w:proofErr w:type="spellStart"/>
      <w:r>
        <w:t>Ebd</w:t>
      </w:r>
      <w:proofErr w:type="spellEnd"/>
      <w:r>
        <w:t xml:space="preserve">. </w:t>
      </w:r>
    </w:p>
  </w:footnote>
  <w:footnote w:id="8">
    <w:p w14:paraId="56C1217F" w14:textId="77777777" w:rsidR="0065670E" w:rsidRDefault="003D00ED">
      <w:pPr>
        <w:pStyle w:val="Funotentext"/>
      </w:pPr>
      <w:r>
        <w:rPr>
          <w:rStyle w:val="FootnoteCharacters"/>
        </w:rPr>
        <w:footnoteRef/>
      </w:r>
      <w:r>
        <w:tab/>
      </w:r>
      <w:proofErr w:type="spellStart"/>
      <w:r>
        <w:t>Ebd</w:t>
      </w:r>
      <w:proofErr w:type="spellEnd"/>
      <w:r>
        <w:t xml:space="preserve">. </w:t>
      </w:r>
    </w:p>
  </w:footnote>
  <w:footnote w:id="9">
    <w:p w14:paraId="4A2EEA84" w14:textId="77777777" w:rsidR="0065670E" w:rsidRDefault="003D00ED">
      <w:pPr>
        <w:pStyle w:val="Funotentext"/>
      </w:pPr>
      <w:r>
        <w:rPr>
          <w:rStyle w:val="FootnoteCharacters"/>
        </w:rPr>
        <w:footnoteRef/>
      </w:r>
      <w:r>
        <w:tab/>
        <w:t xml:space="preserve">Ross, Alex (2014): </w:t>
      </w:r>
      <w:r>
        <w:rPr>
          <w:i/>
          <w:iCs/>
        </w:rPr>
        <w:t xml:space="preserve">The Rest is Noise – Das 20. </w:t>
      </w:r>
      <w:proofErr w:type="spellStart"/>
      <w:r>
        <w:rPr>
          <w:i/>
          <w:iCs/>
        </w:rPr>
        <w:t>Jahrhundert</w:t>
      </w:r>
      <w:proofErr w:type="spellEnd"/>
      <w:r>
        <w:rPr>
          <w:i/>
          <w:iCs/>
        </w:rPr>
        <w:t xml:space="preserve"> </w:t>
      </w:r>
      <w:proofErr w:type="spellStart"/>
      <w:r>
        <w:rPr>
          <w:i/>
          <w:iCs/>
        </w:rPr>
        <w:t>hören</w:t>
      </w:r>
      <w:proofErr w:type="spellEnd"/>
      <w:r>
        <w:t>, Piper, S. 536.</w:t>
      </w:r>
    </w:p>
  </w:footnote>
  <w:footnote w:id="10">
    <w:p w14:paraId="04E79A94" w14:textId="77777777" w:rsidR="0065670E" w:rsidRDefault="003D00ED">
      <w:pPr>
        <w:pStyle w:val="Funotentext"/>
      </w:pPr>
      <w:r>
        <w:rPr>
          <w:rStyle w:val="FootnoteCharacters"/>
        </w:rPr>
        <w:footnoteRef/>
      </w:r>
      <w:r>
        <w:tab/>
        <w:t xml:space="preserve">“it </w:t>
      </w:r>
      <w:r>
        <w:rPr>
          <w:i/>
          <w:iCs/>
        </w:rPr>
        <w:t>was</w:t>
      </w:r>
      <w:r>
        <w:t xml:space="preserve"> a silent protest” (M.F.)</w:t>
      </w:r>
    </w:p>
    <w:p w14:paraId="4421E453" w14:textId="77777777" w:rsidR="0065670E" w:rsidRDefault="003D00ED">
      <w:pPr>
        <w:pStyle w:val="Funotentext"/>
      </w:pPr>
      <w:r>
        <w:tab/>
        <w:t xml:space="preserve">Williams, Jan (1983): </w:t>
      </w:r>
      <w:r>
        <w:rPr>
          <w:rFonts w:ascii="Times New Roman" w:hAnsi="Times New Roman"/>
          <w:i/>
          <w:iCs/>
          <w:color w:val="000000"/>
        </w:rPr>
        <w:t xml:space="preserve">An Interview with Morton Feldman, 22nd April 1983. </w:t>
      </w:r>
      <w:r>
        <w:t xml:space="preserve">In: </w:t>
      </w:r>
      <w:r>
        <w:rPr>
          <w:i/>
          <w:iCs/>
        </w:rPr>
        <w:t>Percussive Notes</w:t>
      </w:r>
      <w:r>
        <w:t xml:space="preserve"> </w:t>
      </w:r>
      <w:r>
        <w:rPr>
          <w:i/>
          <w:iCs/>
        </w:rPr>
        <w:t>Research Edition</w:t>
      </w:r>
      <w:r>
        <w:t xml:space="preserve"> 21/</w:t>
      </w:r>
      <w:r>
        <w:t>6, S.4-14. (</w:t>
      </w:r>
      <w:hyperlink r:id="rId5">
        <w:r>
          <w:rPr>
            <w:rStyle w:val="InternetLink"/>
          </w:rPr>
          <w:t>https://www.cnvill.net/mfjw1.htm</w:t>
        </w:r>
      </w:hyperlink>
      <w:r>
        <w:t xml:space="preserve">) </w:t>
      </w:r>
    </w:p>
  </w:footnote>
  <w:footnote w:id="11">
    <w:p w14:paraId="634125B5" w14:textId="77777777" w:rsidR="0065670E" w:rsidRDefault="003D00ED">
      <w:pPr>
        <w:pStyle w:val="Funotentext"/>
      </w:pPr>
      <w:r>
        <w:rPr>
          <w:rStyle w:val="FootnoteCharacters"/>
        </w:rPr>
        <w:footnoteRef/>
      </w:r>
      <w:r>
        <w:tab/>
        <w:t xml:space="preserve">Ross, Alex (2014): </w:t>
      </w:r>
      <w:r>
        <w:rPr>
          <w:i/>
          <w:iCs/>
        </w:rPr>
        <w:t xml:space="preserve">The Rest is Noise – Das 20. </w:t>
      </w:r>
      <w:proofErr w:type="spellStart"/>
      <w:r>
        <w:rPr>
          <w:i/>
          <w:iCs/>
        </w:rPr>
        <w:t>Jahrhundert</w:t>
      </w:r>
      <w:proofErr w:type="spellEnd"/>
      <w:r>
        <w:rPr>
          <w:i/>
          <w:iCs/>
        </w:rPr>
        <w:t xml:space="preserve"> </w:t>
      </w:r>
      <w:proofErr w:type="spellStart"/>
      <w:r>
        <w:rPr>
          <w:i/>
          <w:iCs/>
        </w:rPr>
        <w:t>hören</w:t>
      </w:r>
      <w:proofErr w:type="spellEnd"/>
      <w:r>
        <w:rPr>
          <w:i/>
          <w:iCs/>
        </w:rPr>
        <w:t xml:space="preserve">, Piper, </w:t>
      </w:r>
      <w:r>
        <w:t>S. 536.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5160D5"/>
    <w:multiLevelType w:val="multilevel"/>
    <w:tmpl w:val="19C86626"/>
    <w:lvl w:ilvl="0">
      <w:start w:val="1"/>
      <w:numFmt w:val="none"/>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lter Faber">
    <w15:presenceInfo w15:providerId="Windows Live" w15:userId="9d2a9225b33d6c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670E"/>
    <w:rsid w:val="00152CEC"/>
    <w:rsid w:val="002E641E"/>
    <w:rsid w:val="003D00ED"/>
    <w:rsid w:val="00522BBC"/>
    <w:rsid w:val="0065670E"/>
    <w:rsid w:val="006D1766"/>
    <w:rsid w:val="00D90681"/>
    <w:rsid w:val="00DC6A70"/>
    <w:rsid w:val="00FE64F0"/>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9EF8673"/>
  <w15:docId w15:val="{F32E4976-56CF-8F48-AE8B-F045C797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rPr>
  </w:style>
  <w:style w:type="paragraph" w:styleId="berschrift1">
    <w:name w:val="heading 1"/>
    <w:basedOn w:val="Heading"/>
    <w:next w:val="Textkrper"/>
    <w:qFormat/>
    <w:pPr>
      <w:outlineLvl w:val="0"/>
    </w:pPr>
    <w:rPr>
      <w:rFonts w:ascii="Liberation Serif" w:eastAsia="NSimSun" w:hAnsi="Liberation Serif"/>
      <w:b/>
      <w:bCs/>
      <w:sz w:val="48"/>
      <w:szCs w:val="48"/>
    </w:rPr>
  </w:style>
  <w:style w:type="paragraph" w:styleId="berschrift2">
    <w:name w:val="heading 2"/>
    <w:basedOn w:val="Heading"/>
    <w:next w:val="Textkrper"/>
    <w:uiPriority w:val="9"/>
    <w:semiHidden/>
    <w:unhideWhenUsed/>
    <w:qFormat/>
    <w:pPr>
      <w:numPr>
        <w:ilvl w:val="1"/>
        <w:numId w:val="1"/>
      </w:numPr>
      <w:spacing w:before="200"/>
      <w:outlineLvl w:val="1"/>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Characters">
    <w:name w:val="Footnote Characters"/>
    <w:basedOn w:val="Absatz-Standardschriftart"/>
    <w:uiPriority w:val="99"/>
    <w:semiHidden/>
    <w:unhideWhenUsed/>
    <w:qFormat/>
    <w:rsid w:val="00761C91"/>
    <w:rPr>
      <w:vertAlign w:val="superscript"/>
    </w:rPr>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InternetLink">
    <w:name w:val="Internet Link"/>
    <w:basedOn w:val="Absatz-Standardschriftart"/>
    <w:uiPriority w:val="99"/>
    <w:unhideWhenUsed/>
    <w:rsid w:val="00DC208B"/>
    <w:rPr>
      <w:color w:val="0563C1" w:themeColor="hyperlink"/>
      <w:u w:val="single"/>
    </w:rPr>
  </w:style>
  <w:style w:type="character" w:customStyle="1" w:styleId="VisitedInternetLink">
    <w:name w:val="Visited Internet Link"/>
    <w:rPr>
      <w:color w:val="800000"/>
      <w:u w:val="single"/>
    </w:rPr>
  </w:style>
  <w:style w:type="character" w:styleId="NichtaufgelsteErwhnung">
    <w:name w:val="Unresolved Mention"/>
    <w:basedOn w:val="Absatz-Standardschriftart"/>
    <w:uiPriority w:val="99"/>
    <w:semiHidden/>
    <w:unhideWhenUsed/>
    <w:qFormat/>
    <w:rsid w:val="00DC208B"/>
    <w:rPr>
      <w:color w:val="605E5C"/>
      <w:shd w:val="clear" w:color="auto" w:fill="E1DFDD"/>
    </w:rPr>
  </w:style>
  <w:style w:type="paragraph" w:customStyle="1" w:styleId="Heading">
    <w:name w:val="Heading"/>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styleId="Funotentext">
    <w:name w:val="footnote text"/>
    <w:basedOn w:val="Standard"/>
    <w:pPr>
      <w:suppressLineNumbers/>
      <w:ind w:left="339" w:hanging="339"/>
    </w:pPr>
    <w:rPr>
      <w:sz w:val="20"/>
      <w:szCs w:val="20"/>
    </w:rPr>
  </w:style>
  <w:style w:type="paragraph" w:customStyle="1" w:styleId="Quotations">
    <w:name w:val="Quotations"/>
    <w:basedOn w:val="Standard"/>
    <w:qFormat/>
    <w:pPr>
      <w:spacing w:after="283"/>
      <w:ind w:left="567" w:right="567"/>
    </w:pPr>
  </w:style>
  <w:style w:type="character" w:styleId="Kommentarzeichen">
    <w:name w:val="annotation reference"/>
    <w:basedOn w:val="Absatz-Standardschriftart"/>
    <w:uiPriority w:val="99"/>
    <w:semiHidden/>
    <w:unhideWhenUsed/>
    <w:rsid w:val="00522BBC"/>
    <w:rPr>
      <w:sz w:val="16"/>
      <w:szCs w:val="16"/>
    </w:rPr>
  </w:style>
  <w:style w:type="paragraph" w:styleId="Kommentartext">
    <w:name w:val="annotation text"/>
    <w:basedOn w:val="Standard"/>
    <w:link w:val="KommentartextZchn"/>
    <w:uiPriority w:val="99"/>
    <w:semiHidden/>
    <w:unhideWhenUsed/>
    <w:rsid w:val="00522BBC"/>
    <w:rPr>
      <w:rFonts w:cs="Mangal"/>
      <w:sz w:val="20"/>
      <w:szCs w:val="18"/>
    </w:rPr>
  </w:style>
  <w:style w:type="character" w:customStyle="1" w:styleId="KommentartextZchn">
    <w:name w:val="Kommentartext Zchn"/>
    <w:basedOn w:val="Absatz-Standardschriftart"/>
    <w:link w:val="Kommentartext"/>
    <w:uiPriority w:val="99"/>
    <w:semiHidden/>
    <w:rsid w:val="00522BBC"/>
    <w:rPr>
      <w:rFonts w:cs="Mangal"/>
      <w:szCs w:val="18"/>
    </w:rPr>
  </w:style>
  <w:style w:type="paragraph" w:styleId="Kommentarthema">
    <w:name w:val="annotation subject"/>
    <w:basedOn w:val="Kommentartext"/>
    <w:next w:val="Kommentartext"/>
    <w:link w:val="KommentarthemaZchn"/>
    <w:uiPriority w:val="99"/>
    <w:semiHidden/>
    <w:unhideWhenUsed/>
    <w:rsid w:val="00522BBC"/>
    <w:rPr>
      <w:b/>
      <w:bCs/>
    </w:rPr>
  </w:style>
  <w:style w:type="character" w:customStyle="1" w:styleId="KommentarthemaZchn">
    <w:name w:val="Kommentarthema Zchn"/>
    <w:basedOn w:val="KommentartextZchn"/>
    <w:link w:val="Kommentarthema"/>
    <w:uiPriority w:val="99"/>
    <w:semiHidden/>
    <w:rsid w:val="00522BBC"/>
    <w:rPr>
      <w:rFonts w:cs="Mangal"/>
      <w:b/>
      <w:bCs/>
      <w:szCs w:val="18"/>
    </w:rPr>
  </w:style>
  <w:style w:type="paragraph" w:styleId="Sprechblasentext">
    <w:name w:val="Balloon Text"/>
    <w:basedOn w:val="Standard"/>
    <w:link w:val="SprechblasentextZchn"/>
    <w:uiPriority w:val="99"/>
    <w:semiHidden/>
    <w:unhideWhenUsed/>
    <w:rsid w:val="00522BBC"/>
    <w:rPr>
      <w:rFonts w:ascii="Times New Roman" w:hAnsi="Times New Roman" w:cs="Mangal"/>
      <w:sz w:val="18"/>
      <w:szCs w:val="16"/>
    </w:rPr>
  </w:style>
  <w:style w:type="character" w:customStyle="1" w:styleId="SprechblasentextZchn">
    <w:name w:val="Sprechblasentext Zchn"/>
    <w:basedOn w:val="Absatz-Standardschriftart"/>
    <w:link w:val="Sprechblasentext"/>
    <w:uiPriority w:val="99"/>
    <w:semiHidden/>
    <w:rsid w:val="00522BBC"/>
    <w:rPr>
      <w:rFonts w:ascii="Times New Roman" w:hAnsi="Times New Roman"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www.cnvill.net/mfjw1.htm" TargetMode="External"/><Relationship Id="rId2" Type="http://schemas.openxmlformats.org/officeDocument/2006/relationships/hyperlink" Target="https://www.cnvill.net/mfneuhaus.htm" TargetMode="External"/><Relationship Id="rId1" Type="http://schemas.openxmlformats.org/officeDocument/2006/relationships/hyperlink" Target="https://www.cnvill.net/mfjw1.htm" TargetMode="External"/><Relationship Id="rId5" Type="http://schemas.openxmlformats.org/officeDocument/2006/relationships/hyperlink" Target="https://www.cnvill.net/mfjw1.htm" TargetMode="External"/><Relationship Id="rId4" Type="http://schemas.openxmlformats.org/officeDocument/2006/relationships/hyperlink" Target="https://www.cnvill.net/mfjw1.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916</Words>
  <Characters>5772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Walter Faber</cp:lastModifiedBy>
  <cp:revision>21</cp:revision>
  <dcterms:created xsi:type="dcterms:W3CDTF">2020-04-09T13:40:00Z</dcterms:created>
  <dcterms:modified xsi:type="dcterms:W3CDTF">2020-05-07T12:51:00Z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