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52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数据平台建设</w:t>
      </w:r>
    </w:p>
    <w:p>
      <w:pPr>
        <w:pStyle w:val="Heading1"/>
        <w:spacing w:line="312" w:lineRule="auto" w:after="396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DataForge 数据开发平台项目计划书</w:t>
      </w:r>
    </w:p>
    <w:p>
      <w:pPr>
        <w:spacing w:after="550"/>
        <w:jc w:val="left"/>
      </w:pPr>
      <w:r>
        <w:rPr>
          <w:rFonts w:ascii="微软雅黑" w:hAnsi="微软雅黑" w:eastAsia="微软雅黑" w:cs="微软雅黑" w:hint="eastAsia"/>
          <w:color w:val="616161"/>
          <w:sz w:val="22"/>
          <w:lang w:eastAsia="zh-CN"/>
        </w:rPr>
        <w:t>规范开发环境</w:t>
      </w:r>
      <w:r>
        <w:rPr>
          <w:rFonts w:ascii="微软雅黑" w:hAnsi="微软雅黑"/>
          <w:color w:val="616161"/>
          <w:sz w:val="22"/>
        </w:rPr>
        <w:t xml:space="preserve"> · </w:t>
      </w:r>
      <w:r>
        <w:rPr>
          <w:rFonts w:ascii="微软雅黑" w:hAnsi="微软雅黑" w:eastAsia="微软雅黑" w:cs="微软雅黑" w:hint="eastAsia"/>
          <w:color w:val="616161"/>
          <w:sz w:val="22"/>
          <w:lang w:eastAsia="zh-CN"/>
        </w:rPr>
        <w:t>信息底座</w:t>
      </w:r>
      <w:r>
        <w:rPr>
          <w:rFonts w:ascii="微软雅黑" w:hAnsi="微软雅黑"/>
          <w:color w:val="616161"/>
          <w:sz w:val="22"/>
        </w:rPr>
        <w:t xml:space="preserve"> · </w:t>
      </w:r>
      <w:r>
        <w:rPr>
          <w:rFonts w:ascii="微软雅黑" w:hAnsi="微软雅黑" w:eastAsia="微软雅黑" w:cs="微软雅黑" w:hint="eastAsia"/>
          <w:color w:val="616161"/>
          <w:sz w:val="22"/>
          <w:lang w:eastAsia="zh-CN"/>
        </w:rPr>
        <w:t>数据血缘与任务依赖</w:t>
      </w:r>
    </w:p>
    <w:p>
      <w:pPr>
        <w:spacing w:line="288" w:lineRule="auto" w:after="80"/>
        <w:jc w:val="left"/>
        <w:pBdr>
          <w:top w:val="single" w:sz="6" w:space="4" w:color="E0E0E0"/>
        </w:pBdr>
      </w:pP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>编制单位：</w:t>
      </w:r>
      <w:r>
        <w:rPr>
          <w:rFonts w:ascii="微软雅黑" w:hAnsi="微软雅黑"/>
          <w:color w:val="616161"/>
          <w:sz w:val="16"/>
        </w:rPr>
        <w:t xml:space="preserve">DataForge </w:t>
      </w: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>项目组</w:t>
      </w:r>
    </w:p>
    <w:p>
      <w:pPr>
        <w:spacing w:line="288" w:lineRule="auto" w:after="80"/>
        <w:jc w:val="left"/>
        <w:pBdr>
          <w:top w:val="single" w:sz="6" w:space="4" w:color="E0E0E0"/>
        </w:pBdr>
      </w:pP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>文档版本：</w:t>
      </w:r>
      <w:r>
        <w:rPr>
          <w:rFonts w:ascii="微软雅黑" w:hAnsi="微软雅黑"/>
          <w:color w:val="616161"/>
          <w:sz w:val="16"/>
        </w:rPr>
        <w:t>V1.0</w:t>
      </w:r>
    </w:p>
    <w:p>
      <w:pPr>
        <w:spacing w:line="288" w:lineRule="auto" w:after="80"/>
        <w:jc w:val="left"/>
        <w:pBdr>
          <w:top w:val="single" w:sz="6" w:space="4" w:color="E0E0E0"/>
        </w:pBdr>
      </w:pP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>编制日期：</w:t>
      </w:r>
      <w:r>
        <w:rPr>
          <w:rFonts w:ascii="微软雅黑" w:hAnsi="微软雅黑"/>
          <w:color w:val="616161"/>
          <w:sz w:val="16"/>
        </w:rPr>
        <w:t xml:space="preserve">2026 </w:t>
      </w: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>年</w:t>
      </w:r>
      <w:r>
        <w:rPr>
          <w:rFonts w:ascii="微软雅黑" w:hAnsi="微软雅黑"/>
          <w:color w:val="616161"/>
          <w:sz w:val="16"/>
        </w:rPr>
        <w:t xml:space="preserve"> 9 </w:t>
      </w: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>月</w:t>
      </w:r>
    </w:p>
    <w:p>
      <w:pPr>
        <w:spacing w:line="288" w:lineRule="auto" w:after="80"/>
        <w:jc w:val="left"/>
        <w:pBdr>
          <w:top w:val="single" w:sz="6" w:space="4" w:color="E0E0E0"/>
        </w:pBdr>
      </w:pP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>文档密级：内部资料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34"/>
        <w:ind w:firstLine="0"/>
        <w:jc w:val="left"/>
      </w:pPr>
      <w:r/>
      <w:r>
        <w:rPr>
          <w:rFonts w:ascii="微软雅黑" w:hAnsi="微软雅黑" w:eastAsia="微软雅黑" w:hint="eastAsia"/>
          <w:b/>
          <w:color w:val="1A237E"/>
          <w:sz w:val="26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一、项目概述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二、需求分析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三、总体架构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四、组件设计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五、功能模块规划与优先级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六、推广计划与公开活动时间计划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七、风险识别与应对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八、验收标准与质量保障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九、预期效益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十、附录：现状基线</w:t>
        </w:r>
      </w:hyperlink>
    </w:p>
    <w:p>
      <w:bookmarkStart w:id="10" w:name="_Toc_section_1"/>
      <w:bookmarkStart w:id="0" w:name="section-1"/>
      <w:pPr>
        <w:pStyle w:val="Heading2"/>
      </w:pPr>
      <w:bookmarkEnd w:id="0"/>
      <w:r>
        <w:rPr>
          <w:rFonts w:ascii="微软雅黑" w:eastAsia="微软雅黑" w:hAnsi="微软雅黑" w:cs="微软雅黑" w:hint="eastAsia"/>
          <w:lang w:eastAsia="zh-CN"/>
        </w:rPr>
        <w:t>一、项目概述</w:t>
      </w:r>
      <w:bookmarkEnd w:id="10"/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本章说明项目的提出背景、平台定位、建设目标与范围边界，为后续章节的需求分析与方案设计提供依据。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（一）项目背景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过去十余年，企业数据团队的作业模式并未发生本质变化：手动搭建数据管道、逐行编写</w:t>
      </w:r>
      <w:r>
        <w:t xml:space="preserve"> ETL </w:t>
      </w:r>
      <w:r>
        <w:rPr>
          <w:rFonts w:ascii="微软雅黑" w:eastAsia="微软雅黑" w:hAnsi="微软雅黑" w:cs="微软雅黑" w:hint="eastAsia"/>
          <w:lang w:eastAsia="zh-CN"/>
        </w:rPr>
        <w:t>逻辑、人工排查任务异常、在多个系统之间反复切换。行业调研数据显示，一个</w:t>
      </w:r>
      <w:r>
        <w:t xml:space="preserve"> 10 </w:t>
      </w:r>
      <w:r>
        <w:rPr>
          <w:rFonts w:ascii="微软雅黑" w:eastAsia="微软雅黑" w:hAnsi="微软雅黑" w:cs="微软雅黑" w:hint="eastAsia"/>
          <w:lang w:eastAsia="zh-CN"/>
        </w:rPr>
        <w:t>至</w:t>
      </w:r>
      <w:r>
        <w:t xml:space="preserve"> 15 </w:t>
      </w:r>
      <w:r>
        <w:rPr>
          <w:rFonts w:ascii="微软雅黑" w:eastAsia="微软雅黑" w:hAnsi="微软雅黑" w:cs="微软雅黑" w:hint="eastAsia"/>
          <w:lang w:eastAsia="zh-CN"/>
        </w:rPr>
        <w:t>人的中型数据团队，约六到七成的工时被消耗在配置同步任务、编写标准</w:t>
      </w:r>
      <w:r>
        <w:t xml:space="preserve"> SQL</w:t>
      </w:r>
      <w:r>
        <w:rPr>
          <w:rFonts w:ascii="微软雅黑" w:eastAsia="微软雅黑" w:hAnsi="微软雅黑" w:cs="微软雅黑" w:hint="eastAsia"/>
          <w:lang w:eastAsia="zh-CN"/>
        </w:rPr>
        <w:t>、排查数据质量、维护元数据文档等重复性操作上，真正投入数据建模、业务分析与架构设计的精力不足三成。</w:t>
      </w:r>
    </w:p>
    <w:p>
      <w:pPr>
        <w:ind w:firstLine="360"/>
      </w:pPr>
      <w:r>
        <w:t xml:space="preserve">2025 </w:t>
      </w:r>
      <w:r>
        <w:rPr>
          <w:rFonts w:ascii="微软雅黑" w:eastAsia="微软雅黑" w:hAnsi="微软雅黑" w:cs="微软雅黑" w:hint="eastAsia"/>
          <w:lang w:eastAsia="zh-CN"/>
        </w:rPr>
        <w:t>年以来，大语言模型从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代码生成器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进化为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意图理解与任务执行体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，数据研发的核心命题从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代码写不完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转向</w:t>
      </w:r>
      <w:r>
        <w:t xml:space="preserve">"AI </w:t>
      </w:r>
      <w:r>
        <w:rPr>
          <w:rFonts w:ascii="微软雅黑" w:eastAsia="微软雅黑" w:hAnsi="微软雅黑" w:cs="微软雅黑" w:hint="eastAsia"/>
          <w:lang w:eastAsia="zh-CN"/>
        </w:rPr>
        <w:t>生成的代码是否正确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。但这个命题背后有一个更深层的前提常被忽略：</w:t>
      </w:r>
      <w:r>
        <w:rPr>
          <w:rFonts w:ascii="微软雅黑" w:eastAsia="微软雅黑" w:hAnsi="微软雅黑" w:cs="微软雅黑" w:hint="eastAsia"/>
          <w:b/>
          <w:lang w:eastAsia="zh-CN"/>
        </w:rPr>
        <w:t>智能体要正确理解业务数据，靠的既不是更大的模型，也不是更巧的提示词，而是企业能否为它提供规范、无歧义、可检索的信息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一张表是什么、一个指标怎么算、数据从哪来到哪去、由哪个任务在何时产出。缺少这些信息，智能体就只能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看似会写</w:t>
      </w:r>
      <w:r>
        <w:t xml:space="preserve"> SQL</w:t>
      </w:r>
      <w:r>
        <w:rPr>
          <w:rFonts w:ascii="微软雅黑" w:eastAsia="微软雅黑" w:hAnsi="微软雅黑" w:cs="微软雅黑" w:hint="eastAsia"/>
          <w:lang w:eastAsia="zh-CN"/>
        </w:rPr>
        <w:t>，实则猜口径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，产出越大、错得越快。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本项目组的落点正在于此：不做一个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更会写代码的工具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，而是把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让智能体正确理解业务数据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所需的</w:t>
      </w:r>
      <w:r>
        <w:rPr>
          <w:rFonts w:ascii="微软雅黑" w:eastAsia="微软雅黑" w:hAnsi="微软雅黑" w:cs="微软雅黑" w:hint="eastAsia"/>
          <w:b/>
          <w:lang w:eastAsia="zh-CN"/>
        </w:rPr>
        <w:t>规范开发环境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rPr>
          <w:rFonts w:ascii="微软雅黑" w:eastAsia="微软雅黑" w:hAnsi="微软雅黑" w:cs="微软雅黑" w:hint="eastAsia"/>
          <w:b/>
          <w:lang w:eastAsia="zh-CN"/>
        </w:rPr>
        <w:t>四类基础信息</w:t>
      </w:r>
      <w:r>
        <w:rPr>
          <w:rFonts w:ascii="微软雅黑" w:eastAsia="微软雅黑" w:hAnsi="微软雅黑" w:cs="微软雅黑" w:hint="eastAsia"/>
          <w:lang w:eastAsia="zh-CN"/>
        </w:rPr>
        <w:t>系统性地补齐，让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的能力建立在有据可依的底座之上。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（二）项目定位</w:t>
      </w:r>
    </w:p>
    <w:p>
      <w:pPr>
        <w:ind w:firstLine="360"/>
      </w:pPr>
      <w:r>
        <w:t xml:space="preserve">DataForge </w:t>
      </w:r>
      <w:r>
        <w:rPr>
          <w:rFonts w:ascii="微软雅黑" w:eastAsia="微软雅黑" w:hAnsi="微软雅黑" w:cs="微软雅黑" w:hint="eastAsia"/>
          <w:lang w:eastAsia="zh-CN"/>
        </w:rPr>
        <w:t>是面向数据开发的一体化平台，核心目标是</w:t>
      </w:r>
      <w:r>
        <w:rPr>
          <w:rFonts w:ascii="微软雅黑" w:eastAsia="微软雅黑" w:hAnsi="微软雅黑" w:cs="微软雅黑" w:hint="eastAsia"/>
          <w:b/>
          <w:lang w:eastAsia="zh-CN"/>
        </w:rPr>
        <w:t>让智能体正确理解业务数据</w:t>
      </w:r>
      <w:r>
        <w:rPr>
          <w:rFonts w:ascii="微软雅黑" w:eastAsia="微软雅黑" w:hAnsi="微软雅黑" w:cs="微软雅黑" w:hint="eastAsia"/>
          <w:lang w:eastAsia="zh-CN"/>
        </w:rPr>
        <w:t>。平台由四大核心组件构成：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组件</w:t>
            </w:r>
          </w:p>
        </w:tc>
        <w:tc>
          <w:tcPr>
            <w:tcW w:type="dxa" w:w="216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形态</w:t>
            </w:r>
          </w:p>
        </w:tc>
        <w:tc>
          <w:tcPr>
            <w:tcW w:type="dxa" w:w="216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提供的关键能力</w:t>
            </w:r>
          </w:p>
        </w:tc>
        <w:tc>
          <w:tcPr>
            <w:tcW w:type="dxa" w:w="216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在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"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智能体理解业务数据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"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中的角色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dataforge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桌面应用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规范开发环境：代码头参数声明、编译校验、命名与口径约束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从源头保证开发产生的信息规范且无歧义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dataforge-server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平台服务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库表描述信息、数据指标描述信息、统一身份与权限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回答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表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/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字段是什么、指标口径是什么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Marquez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开源系统（集成）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数据血缘信息（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OpenLineage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回答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数据从哪来、流向哪、影响谁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DolphinScheduler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开源系统（集成）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任务依赖信息（工作流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DAG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调度）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回答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数据由什么任务、在何时产出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</w:p>
        </w:tc>
      </w:tr>
    </w:tbl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四大核心组件共同回答同一个问题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如何让智能体正确理解业务数据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dataforge </w:t>
      </w:r>
      <w:r>
        <w:rPr>
          <w:rFonts w:ascii="微软雅黑" w:eastAsia="微软雅黑" w:hAnsi="微软雅黑" w:cs="微软雅黑" w:hint="eastAsia"/>
          <w:lang w:eastAsia="zh-CN"/>
        </w:rPr>
        <w:t>构建规范开发环境，保证信息源头无歧义；</w:t>
      </w:r>
      <w:r>
        <w:t xml:space="preserve">dataforge-server </w:t>
      </w:r>
      <w:r>
        <w:rPr>
          <w:rFonts w:ascii="微软雅黑" w:eastAsia="微软雅黑" w:hAnsi="微软雅黑" w:cs="微软雅黑" w:hint="eastAsia"/>
          <w:lang w:eastAsia="zh-CN"/>
        </w:rPr>
        <w:t>提供库表与指标描述，回答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是什么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</w:t>
      </w:r>
      <w:r>
        <w:t xml:space="preserve">Marquez </w:t>
      </w:r>
      <w:r>
        <w:rPr>
          <w:rFonts w:ascii="微软雅黑" w:eastAsia="微软雅黑" w:hAnsi="微软雅黑" w:cs="微软雅黑" w:hint="eastAsia"/>
          <w:lang w:eastAsia="zh-CN"/>
        </w:rPr>
        <w:t>提供血缘，回答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从哪来、到哪去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</w:t>
      </w:r>
      <w:r>
        <w:t xml:space="preserve">DolphinScheduler </w:t>
      </w:r>
      <w:r>
        <w:rPr>
          <w:rFonts w:ascii="微软雅黑" w:eastAsia="微软雅黑" w:hAnsi="微软雅黑" w:cs="微软雅黑" w:hint="eastAsia"/>
          <w:lang w:eastAsia="zh-CN"/>
        </w:rPr>
        <w:t>提供任务依赖，回答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何时、依赖什么产出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62"/>
        <w:ind w:firstLine="0"/>
        <w:jc w:val="both"/>
        <w:pBdr>
          <w:left w:val="single" w:sz="24" w:space="0" w:color="1565C0"/>
        </w:pBdr>
        <w:shd w:val="clear" w:color="auto" w:fill="F5F7FA"/>
      </w:pPr>
      <w:r>
        <w:rPr>
          <w:color w:val="212121"/>
          <w:sz w:val="18"/>
        </w:rPr>
        <w:t xml:space="preserve">  </w:t>
      </w: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强调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：本项目所有程序可在企业内部免费使用（代码不开源）；公司主要收益来源为数据开发与集群运维服务。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（三）建设目标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总体目标：建成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规范开发环境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四类基础信息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的数据开发平台，使智能体能够正确理解业务数据，把</w:t>
      </w:r>
      <w:r>
        <w:t xml:space="preserve">"AI </w:t>
      </w:r>
      <w:r>
        <w:rPr>
          <w:rFonts w:ascii="微软雅黑" w:eastAsia="微软雅黑" w:hAnsi="微软雅黑" w:cs="微软雅黑" w:hint="eastAsia"/>
          <w:lang w:eastAsia="zh-CN"/>
        </w:rPr>
        <w:t>生成的代码是否正确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从风险变成可验证的常态。具体目标分为六个方面：</w:t>
      </w:r>
    </w:p>
    <w:p>
      <w:pPr>
        <w:pStyle w:val="ListNumber"/>
        <w:numPr>
          <w:ilvl w:val="0"/>
          <w:numId w:val="10"/>
        </w:numPr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规范开发环境目标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：由</w:t>
      </w:r>
      <w:r>
        <w:rPr>
          <w:color w:val="212121"/>
          <w:sz w:val="18"/>
        </w:rPr>
        <w:t xml:space="preserve"> dataforge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桌面端把数据开发收敛到一个受约束的入口</w:t>
      </w:r>
      <w:r>
        <w:rPr>
          <w:color w:val="212121"/>
          <w:sz w:val="18"/>
        </w:rPr>
        <w:t>——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代码头参数声明、编译与</w:t>
      </w:r>
      <w:r>
        <w:rPr>
          <w:color w:val="212121"/>
          <w:sz w:val="18"/>
        </w:rPr>
        <w:t xml:space="preserve"> SQL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校验、命名与口径约束，确保开发产生的信息规范且无歧义。</w:t>
      </w:r>
    </w:p>
    <w:p>
      <w:pPr>
        <w:pStyle w:val="ListNumber"/>
        <w:numPr>
          <w:ilvl w:val="0"/>
          <w:numId w:val="10"/>
        </w:numPr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信息底座目标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：由</w:t>
      </w:r>
      <w:r>
        <w:rPr>
          <w:color w:val="212121"/>
          <w:sz w:val="18"/>
        </w:rPr>
        <w:t xml:space="preserve"> dataforge-server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沉淀库表描述信息与数据指标描述信息，作为智能体理解</w:t>
      </w:r>
      <w:r>
        <w:rPr>
          <w:color w:val="212121"/>
          <w:sz w:val="18"/>
        </w:rPr>
        <w:t>"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数据是什么</w:t>
      </w:r>
      <w:r>
        <w:rPr>
          <w:color w:val="212121"/>
          <w:sz w:val="18"/>
        </w:rPr>
        <w:t>"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的权威口径来源。</w:t>
      </w:r>
    </w:p>
    <w:p>
      <w:pPr>
        <w:pStyle w:val="ListNumber"/>
        <w:numPr>
          <w:ilvl w:val="0"/>
          <w:numId w:val="10"/>
        </w:numPr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血缘与依赖目标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：集成</w:t>
      </w:r>
      <w:r>
        <w:rPr>
          <w:color w:val="212121"/>
          <w:sz w:val="18"/>
        </w:rPr>
        <w:t xml:space="preserve"> Marquez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获取数据血缘信息、集成</w:t>
      </w:r>
      <w:r>
        <w:rPr>
          <w:color w:val="212121"/>
          <w:sz w:val="18"/>
        </w:rPr>
        <w:t xml:space="preserve"> DolphinScheduler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获取任务依赖信息，让数据</w:t>
      </w:r>
      <w:r>
        <w:rPr>
          <w:color w:val="212121"/>
          <w:sz w:val="18"/>
        </w:rPr>
        <w:t>"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从哪来、何时产出、影响谁</w:t>
      </w:r>
      <w:r>
        <w:rPr>
          <w:color w:val="212121"/>
          <w:sz w:val="18"/>
        </w:rPr>
        <w:t>"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可追溯。</w:t>
      </w:r>
    </w:p>
    <w:p>
      <w:pPr>
        <w:pStyle w:val="ListNumber"/>
        <w:numPr>
          <w:ilvl w:val="0"/>
          <w:numId w:val="10"/>
        </w:numPr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智能体上下文闭环目标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：将上述规范环境与四类信息汇聚为智能体的上下文供给层，使其在生成代码前即可调用准确的业务上下文，而非凭空推断。</w:t>
      </w:r>
    </w:p>
    <w:p>
      <w:pPr>
        <w:pStyle w:val="ListNumber"/>
        <w:numPr>
          <w:ilvl w:val="0"/>
          <w:numId w:val="10"/>
        </w:numPr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自动化运维目标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：为</w:t>
      </w:r>
      <w:r>
        <w:rPr>
          <w:color w:val="212121"/>
          <w:sz w:val="18"/>
        </w:rPr>
        <w:t xml:space="preserve"> SQL / Scala / Java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三类程序提供</w:t>
      </w: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一键上线调度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（已具备）</w:t>
      </w:r>
      <w:r>
        <w:rPr>
          <w:color w:val="212121"/>
          <w:sz w:val="18"/>
        </w:rPr>
        <w:t>——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把编译、参数声明、提交与依赖编排收敛为一次操作；并推进</w:t>
      </w: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自动化问题排障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（功能规划中），基于集群部署信息与任务依赖关系，在任务失败时自动定位到受影响的上游任务或资源瓶颈。</w:t>
      </w:r>
    </w:p>
    <w:p>
      <w:pPr>
        <w:pStyle w:val="ListNumber"/>
        <w:numPr>
          <w:ilvl w:val="0"/>
          <w:numId w:val="10"/>
        </w:numPr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数据价值评估目标（功能规划中）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：整理数据资产清单及其处理所消耗的计算资源，结合数据使用情况（访问频次、下游引用等），评估数据的使用价值，识别高价值资产与长期闲置的低效资产，为资源优化与治理决策提供依据。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（四）建设范围与边界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本期建设范围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Bullet"/>
        <w:spacing w:line="384" w:lineRule="auto" w:after="90"/>
        <w:jc w:val="left"/>
      </w:pPr>
      <w:r>
        <w:rPr>
          <w:color w:val="212121"/>
          <w:sz w:val="18"/>
        </w:rPr>
        <w:t xml:space="preserve">dataforge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桌面端全功能客户端（规范开发环境：</w:t>
      </w:r>
      <w:r>
        <w:rPr>
          <w:color w:val="212121"/>
          <w:sz w:val="18"/>
        </w:rPr>
        <w:t xml:space="preserve">AI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助手、代码编辑与语言服务、编译与</w:t>
      </w:r>
      <w:r>
        <w:rPr>
          <w:color w:val="212121"/>
          <w:sz w:val="18"/>
        </w:rPr>
        <w:t xml:space="preserve"> SQL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校验、程序参数声明、调度提交）。</w:t>
      </w:r>
    </w:p>
    <w:p>
      <w:pPr>
        <w:pStyle w:val="ListBullet"/>
        <w:spacing w:line="384" w:lineRule="auto" w:after="90"/>
        <w:jc w:val="left"/>
      </w:pPr>
      <w:r>
        <w:rPr>
          <w:color w:val="212121"/>
          <w:sz w:val="18"/>
        </w:rPr>
        <w:t xml:space="preserve">dataforge-server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平台服务（库表描述、字段描述、指标描述、统一身份与多级权限、知识库、数据源与存储、审计）。</w:t>
      </w:r>
    </w:p>
    <w:p>
      <w:pPr>
        <w:pStyle w:val="ListBullet"/>
        <w:spacing w:line="384" w:lineRule="auto" w:after="90"/>
        <w:jc w:val="left"/>
      </w:pPr>
      <w:r>
        <w:rPr>
          <w:color w:val="212121"/>
          <w:sz w:val="18"/>
        </w:rPr>
        <w:t xml:space="preserve">Marquez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与</w:t>
      </w:r>
      <w:r>
        <w:rPr>
          <w:color w:val="212121"/>
          <w:sz w:val="18"/>
        </w:rPr>
        <w:t xml:space="preserve"> DolphinScheduler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的集成（血缘信息采集与图谱展示、工作流定义与任务依赖管理、运行实例监控）。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明确不包含在本期范围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不替代底层存储与计算引擎本身（</w:t>
      </w:r>
      <w:r>
        <w:rPr>
          <w:color w:val="212121"/>
          <w:sz w:val="18"/>
        </w:rPr>
        <w:t xml:space="preserve">Hive / Spark / Flink / Doris / ClickHouse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由既有集群提供）。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不自研元数据存储引擎与血缘采集引擎，而是集成</w:t>
      </w:r>
      <w:r>
        <w:rPr>
          <w:color w:val="212121"/>
          <w:sz w:val="18"/>
        </w:rPr>
        <w:t xml:space="preserve"> Marquez / OpenLineage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与既有元数据体系。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不承担数据模型设计与数仓分层建模的方法论落地，平台只提供承载与校验能力。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（五）产品与商业模式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本项目所有程序（</w:t>
      </w:r>
      <w:r>
        <w:t xml:space="preserve">dataforge </w:t>
      </w:r>
      <w:r>
        <w:rPr>
          <w:rFonts w:ascii="微软雅黑" w:eastAsia="微软雅黑" w:hAnsi="微软雅黑" w:cs="微软雅黑" w:hint="eastAsia"/>
          <w:lang w:eastAsia="zh-CN"/>
        </w:rPr>
        <w:t>桌面端、</w:t>
      </w:r>
      <w:r>
        <w:t xml:space="preserve">dataforge-server </w:t>
      </w:r>
      <w:r>
        <w:rPr>
          <w:rFonts w:ascii="微软雅黑" w:eastAsia="微软雅黑" w:hAnsi="微软雅黑" w:cs="微软雅黑" w:hint="eastAsia"/>
          <w:lang w:eastAsia="zh-CN"/>
        </w:rPr>
        <w:t>及配套组件）</w:t>
      </w:r>
      <w:r>
        <w:rPr>
          <w:rFonts w:ascii="微软雅黑" w:eastAsia="微软雅黑" w:hAnsi="微软雅黑" w:cs="微软雅黑" w:hint="eastAsia"/>
          <w:b/>
          <w:lang w:eastAsia="zh-CN"/>
        </w:rPr>
        <w:t>可在企业内部免费使用</w:t>
      </w:r>
      <w:r>
        <w:rPr>
          <w:rFonts w:ascii="微软雅黑" w:eastAsia="微软雅黑" w:hAnsi="微软雅黑" w:cs="微软雅黑" w:hint="eastAsia"/>
          <w:lang w:eastAsia="zh-CN"/>
        </w:rPr>
        <w:t>，软件</w:t>
      </w:r>
      <w:r>
        <w:rPr>
          <w:rFonts w:ascii="微软雅黑" w:eastAsia="微软雅黑" w:hAnsi="微软雅黑" w:cs="微软雅黑" w:hint="eastAsia"/>
          <w:b/>
          <w:lang w:eastAsia="zh-CN"/>
        </w:rPr>
        <w:t>代码不开源</w:t>
      </w:r>
      <w:r>
        <w:rPr>
          <w:rFonts w:ascii="微软雅黑" w:eastAsia="微软雅黑" w:hAnsi="微软雅黑" w:cs="微软雅黑" w:hint="eastAsia"/>
          <w:lang w:eastAsia="zh-CN"/>
        </w:rPr>
        <w:t>，以闭源形式提供。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公司的收益来源不是软件授权收费，而是以</w:t>
      </w:r>
      <w:r>
        <w:rPr>
          <w:rFonts w:ascii="微软雅黑" w:eastAsia="微软雅黑" w:hAnsi="微软雅黑" w:cs="微软雅黑" w:hint="eastAsia"/>
          <w:b/>
          <w:lang w:eastAsia="zh-CN"/>
        </w:rPr>
        <w:t>数据开发服务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rPr>
          <w:rFonts w:ascii="微软雅黑" w:eastAsia="微软雅黑" w:hAnsi="微软雅黑" w:cs="微软雅黑" w:hint="eastAsia"/>
          <w:b/>
          <w:lang w:eastAsia="zh-CN"/>
        </w:rPr>
        <w:t>集群运维服务</w:t>
      </w:r>
      <w:r>
        <w:rPr>
          <w:rFonts w:ascii="微软雅黑" w:eastAsia="微软雅黑" w:hAnsi="微软雅黑" w:cs="微软雅黑" w:hint="eastAsia"/>
          <w:lang w:eastAsia="zh-CN"/>
        </w:rPr>
        <w:t>为核心的专业服务收费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软件作为获客与留客的载体，专业服务作为主要收益来源，形成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软件免费、服务收费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的模式。</w:t>
      </w:r>
    </w:p>
    <w:p>
      <w:pPr>
        <w:pStyle w:val="Heading4"/>
      </w:pPr>
      <w:r>
        <w:rPr>
          <w:rFonts w:ascii="微软雅黑" w:eastAsia="微软雅黑" w:hAnsi="微软雅黑" w:cs="微软雅黑" w:hint="eastAsia"/>
          <w:lang w:eastAsia="zh-CN"/>
        </w:rPr>
        <w:t>1. 收入来源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服务分两大类，覆盖平台全生命周期，每一项收费清晰透明。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平台构建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服务项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收费方式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大数据集群部署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标准版本免费，其他版本收费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部署与调优大数据基础组件；标准版本：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Hive Metastore 4.1.1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Spark 4.1.0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Flink 1.20.4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Doris 4.0.1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JuiceFS 1.3.1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YARN 3.4.3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Kyuubi 1.1.1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数据接入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200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元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链接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将企业现有数据源接入平台（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MySQL / PostgreSQL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Hive / HDFS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Kafka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API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数据源等）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集群运维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¥2,000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7×12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监控告警、故障响应处理、定期巡检优化、容量规划建议、版本升级支持</w:t>
            </w:r>
          </w:p>
        </w:tc>
      </w:tr>
    </w:tbl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开发代管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服务项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收费方式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指标开发代管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¥50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指标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含指标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SQL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开发、测试验证、上线调度、日常运维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线上问题解决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按次计费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数据接入延迟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200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元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/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次；数据质量异常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200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元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/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指标业务逻辑调整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按次计费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计算口径变更、数据源调整、指标拆分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/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合并、历史数据回刷，各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100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元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/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次</w:t>
            </w:r>
          </w:p>
        </w:tc>
      </w:tr>
    </w:tbl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服务交付遵循标准化流程：需求沟通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方案设计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实施交付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运营保障。</w:t>
      </w:r>
    </w:p>
    <w:p>
      <w:pPr>
        <w:pStyle w:val="Heading4"/>
      </w:pPr>
      <w:r>
        <w:rPr>
          <w:rFonts w:ascii="微软雅黑" w:eastAsia="微软雅黑" w:hAnsi="微软雅黑" w:cs="微软雅黑" w:hint="eastAsia"/>
          <w:lang w:eastAsia="zh-CN"/>
        </w:rPr>
        <w:t>2. 预估收入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基于上述定价，按每客户</w:t>
      </w:r>
      <w:r>
        <w:t xml:space="preserve"> 100 </w:t>
      </w:r>
      <w:r>
        <w:rPr>
          <w:rFonts w:ascii="微软雅黑" w:eastAsia="微软雅黑" w:hAnsi="微软雅黑" w:cs="微软雅黑" w:hint="eastAsia"/>
          <w:lang w:eastAsia="zh-CN"/>
        </w:rPr>
        <w:t>个指标、客户规模分三档测算年度收入（仅计常续费项，一次性接入与按次服务作为弹性补充未计入）：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16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签约客户</w:t>
            </w:r>
          </w:p>
        </w:tc>
        <w:tc>
          <w:tcPr>
            <w:tcW w:type="dxa" w:w="216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每客户指标数</w:t>
            </w:r>
          </w:p>
        </w:tc>
        <w:tc>
          <w:tcPr>
            <w:tcW w:type="dxa" w:w="216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年度收入测算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保守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5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100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个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运维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5 × ¥24,000 +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指标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5 × 100 × ¥600 ≈ ¥42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万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/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年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中性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10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100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个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运维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10 × ¥24,000 +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指标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10 × 100 × ¥600 ≈ ¥84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万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/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年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乐观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30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100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个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运维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30 × ¥24,000 +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指标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30 × 100 × ¥600 ≈ ¥252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万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/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年</w:t>
            </w:r>
          </w:p>
        </w:tc>
      </w:tr>
    </w:tbl>
    <w:p>
      <w:pPr>
        <w:spacing w:after="162"/>
        <w:ind w:firstLine="0"/>
        <w:jc w:val="both"/>
        <w:pBdr>
          <w:left w:val="single" w:sz="24" w:space="0" w:color="1565C0"/>
        </w:pBdr>
        <w:shd w:val="clear" w:color="auto" w:fill="F5F7FA"/>
      </w:pPr>
      <w:r>
        <w:rPr>
          <w:color w:val="212121"/>
          <w:sz w:val="18"/>
        </w:rPr>
        <w:t xml:space="preserve">  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测算口径：每客户指标数统一按</w:t>
      </w:r>
      <w:r>
        <w:rPr>
          <w:color w:val="212121"/>
          <w:sz w:val="18"/>
        </w:rPr>
        <w:t xml:space="preserve"> 100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个假设；集群运维按</w:t>
      </w:r>
      <w:r>
        <w:rPr>
          <w:color w:val="212121"/>
          <w:sz w:val="18"/>
        </w:rPr>
        <w:t xml:space="preserve"> ¥2,000/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月</w:t>
      </w:r>
      <w:r>
        <w:rPr>
          <w:color w:val="212121"/>
          <w:sz w:val="18"/>
        </w:rPr>
        <w:t xml:space="preserve"> × 12 = ¥24,000/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年；指标代管按</w:t>
      </w:r>
      <w:r>
        <w:rPr>
          <w:color w:val="212121"/>
          <w:sz w:val="18"/>
        </w:rPr>
        <w:t xml:space="preserve"> ¥50/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指标</w:t>
      </w:r>
      <w:r>
        <w:rPr>
          <w:color w:val="212121"/>
          <w:sz w:val="18"/>
        </w:rPr>
        <w:t>/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月</w:t>
      </w:r>
      <w:r>
        <w:rPr>
          <w:color w:val="212121"/>
          <w:sz w:val="18"/>
        </w:rPr>
        <w:t xml:space="preserve"> × 12 = ¥600/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指标</w:t>
      </w:r>
      <w:r>
        <w:rPr>
          <w:color w:val="212121"/>
          <w:sz w:val="18"/>
        </w:rPr>
        <w:t>/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年。数据接入（</w:t>
      </w:r>
      <w:r>
        <w:rPr>
          <w:color w:val="212121"/>
          <w:sz w:val="18"/>
        </w:rPr>
        <w:t>¥200/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链接）、线上问题解决与指标逻辑调整按次收费，属弹性收入，未计入上述测算。</w:t>
      </w:r>
    </w:p>
    <w:p>
      <w:bookmarkStart w:id="11" w:name="_Toc_section_2"/>
      <w:bookmarkStart w:id="1" w:name="section-2"/>
      <w:pPr>
        <w:pStyle w:val="Heading2"/>
      </w:pPr>
      <w:bookmarkEnd w:id="1"/>
      <w:r>
        <w:rPr>
          <w:rFonts w:ascii="微软雅黑" w:eastAsia="微软雅黑" w:hAnsi="微软雅黑" w:cs="微软雅黑" w:hint="eastAsia"/>
          <w:lang w:eastAsia="zh-CN"/>
        </w:rPr>
        <w:t>二、需求分析</w:t>
      </w:r>
      <w:bookmarkEnd w:id="11"/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本章从使用角色出发梳理典型场景，并给出规范开发环境、信息底座、血缘与任务依赖三类功能需求。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（一）用户角色与典型场景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平台按角色收敛权限（服务端初始化脚本预置</w:t>
      </w:r>
      <w:r>
        <w:t xml:space="preserve"> 1 </w:t>
      </w:r>
      <w:r>
        <w:rPr>
          <w:rFonts w:ascii="微软雅黑" w:eastAsia="微软雅黑" w:hAnsi="微软雅黑" w:cs="微软雅黑" w:hint="eastAsia"/>
          <w:lang w:eastAsia="zh-CN"/>
        </w:rPr>
        <w:t>个超级管理员角色，其余角色按需创建）。典型使用场景如下：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角色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典型场景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核心诉求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数据开发工程师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在规范环境中编写程序，借助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AI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助手生成与纠错代码，编排工作流并提交调度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环境规范、上下文完整、提交一步到位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数据分析人员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浏览库表与指标口径，编写即席查询并可视化，查看字段血缘与任务依赖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找数快、口径准、来龙去脉可追溯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运维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平台管理员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管理用户角色租户、配置数据源与外部系统连接、查看审计日志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权限边界清晰、配置集中、操作留痕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数据平台负责人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掌握任务运行状态、数据资产分布、平台使用情况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全局可视、问题可定位</w:t>
            </w:r>
          </w:p>
        </w:tc>
      </w:tr>
    </w:tbl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功能需求按规范开发环境、信息底座、血缘与任务依赖三个方向描述。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（二）功能需求</w:t>
      </w:r>
    </w:p>
    <w:p>
      <w:pPr>
        <w:pStyle w:val="Heading4"/>
      </w:pPr>
      <w:r>
        <w:rPr>
          <w:rFonts w:ascii="微软雅黑" w:eastAsia="微软雅黑" w:hAnsi="微软雅黑" w:cs="微软雅黑" w:hint="eastAsia"/>
          <w:lang w:eastAsia="zh-CN"/>
        </w:rPr>
        <w:t>1. 规范开发环境（dataforge）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AI 开发助手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：支持多模型切换、工具调用（命令执行</w:t>
      </w:r>
      <w:r>
        <w:rPr>
          <w:color w:val="212121"/>
          <w:sz w:val="18"/>
        </w:rPr>
        <w:t xml:space="preserve"> /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文件编辑</w:t>
      </w:r>
      <w:r>
        <w:rPr>
          <w:color w:val="212121"/>
          <w:sz w:val="18"/>
        </w:rPr>
        <w:t xml:space="preserve"> /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网络检索</w:t>
      </w:r>
      <w:r>
        <w:rPr>
          <w:color w:val="212121"/>
          <w:sz w:val="18"/>
        </w:rPr>
        <w:t xml:space="preserve"> /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任务</w:t>
      </w:r>
      <w:r>
        <w:rPr>
          <w:color w:val="212121"/>
          <w:sz w:val="18"/>
        </w:rPr>
        <w:t xml:space="preserve"> / Skill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等）、沙箱执行、权限审批与交互式问答；支持会话切换与任务历史回溯；支持不同任务类型的角色化系统指令。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代码编辑与智能提示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：提供专业</w:t>
      </w:r>
      <w:r>
        <w:rPr>
          <w:color w:val="212121"/>
          <w:sz w:val="18"/>
        </w:rPr>
        <w:t xml:space="preserve"> IDE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级编辑体验，包含文本语法高亮、主题、快捷键；通过语言服务器协议桥接</w:t>
      </w:r>
      <w:r>
        <w:rPr>
          <w:color w:val="212121"/>
          <w:sz w:val="18"/>
        </w:rPr>
        <w:t xml:space="preserve"> Java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与</w:t>
      </w:r>
      <w:r>
        <w:rPr>
          <w:color w:val="212121"/>
          <w:sz w:val="18"/>
        </w:rPr>
        <w:t xml:space="preserve"> Scala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语言服务，提供悬停提示、定义跳转（含依赖源码）、补全、诊断。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编译与校验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：本地提供</w:t>
      </w:r>
      <w:r>
        <w:rPr>
          <w:color w:val="212121"/>
          <w:sz w:val="18"/>
        </w:rPr>
        <w:t xml:space="preserve"> Java / Scala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的</w:t>
      </w:r>
      <w:r>
        <w:rPr>
          <w:color w:val="212121"/>
          <w:sz w:val="18"/>
        </w:rPr>
        <w:t xml:space="preserve"> Maven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编译服务与</w:t>
      </w:r>
      <w:r>
        <w:rPr>
          <w:color w:val="212121"/>
          <w:sz w:val="18"/>
        </w:rPr>
        <w:t xml:space="preserve"> SQL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语法校验能力，供</w:t>
      </w:r>
      <w:r>
        <w:rPr>
          <w:color w:val="212121"/>
          <w:sz w:val="18"/>
        </w:rPr>
        <w:t xml:space="preserve"> AI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助手与编辑器调用；编译前自动生成</w:t>
      </w:r>
      <w:r>
        <w:rPr>
          <w:color w:val="212121"/>
          <w:sz w:val="18"/>
        </w:rPr>
        <w:t xml:space="preserve"> Maven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工程配置。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程序参数声明与提交调度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：程序文件头部以结构化字段声明程序参数、资源参数与任务参数；运行前必须确认参数；提交调度时把声明参数落地到调度任务节点，支持文件夹级批量提交与环境标识（默认</w:t>
      </w:r>
      <w:r>
        <w:rPr>
          <w:color w:val="212121"/>
          <w:sz w:val="18"/>
        </w:rPr>
        <w:t xml:space="preserve"> test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）。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文件与版本管理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：工作区文件浏览与多选操作；</w:t>
      </w:r>
      <w:r>
        <w:rPr>
          <w:color w:val="212121"/>
          <w:sz w:val="18"/>
        </w:rPr>
        <w:t xml:space="preserve">Git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仓库自动同步；文件历史与回滚；删除走回收站机制。</w:t>
      </w:r>
    </w:p>
    <w:p>
      <w:pPr>
        <w:pStyle w:val="Heading4"/>
      </w:pPr>
      <w:r>
        <w:rPr>
          <w:rFonts w:ascii="微软雅黑" w:eastAsia="微软雅黑" w:hAnsi="微软雅黑" w:cs="微软雅黑" w:hint="eastAsia"/>
          <w:lang w:eastAsia="zh-CN"/>
        </w:rPr>
        <w:t>2. 信息底座（dataforge-server）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库表与字段描述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：库表元数据浏览、字段明细、元数据同步，沉淀</w:t>
      </w:r>
      <w:r>
        <w:rPr>
          <w:color w:val="212121"/>
          <w:sz w:val="18"/>
        </w:rPr>
        <w:t>"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表</w:t>
      </w:r>
      <w:r>
        <w:rPr>
          <w:color w:val="212121"/>
          <w:sz w:val="18"/>
        </w:rPr>
        <w:t>/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字段是什么</w:t>
      </w:r>
      <w:r>
        <w:rPr>
          <w:color w:val="212121"/>
          <w:sz w:val="18"/>
        </w:rPr>
        <w:t>"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的权威描述。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数据指标描述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：指标体系维护（指标定义与计算口径），支持跳转血缘查看关联字段。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统一认证与授权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：无状态令牌认证、登录登出、当前用户信息获取；基于角色与租户的权限控制，权限可到行级与列级；操作审计日志。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数据源与存储管理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：数据源配置的增删改查、连接测试（</w:t>
      </w:r>
      <w:r>
        <w:rPr>
          <w:color w:val="212121"/>
          <w:sz w:val="18"/>
        </w:rPr>
        <w:t xml:space="preserve">Kyuubi / Doris / ClickHouse / MySQL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等）；存储配置与分布式文件浏览（</w:t>
      </w:r>
      <w:r>
        <w:rPr>
          <w:color w:val="212121"/>
          <w:sz w:val="18"/>
        </w:rPr>
        <w:t xml:space="preserve">HDFS / JuiceFS / S3 /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本地）。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知识管理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：企业知识文档的分类、检索与维护，作为智能体上下文来源之一。</w:t>
      </w:r>
    </w:p>
    <w:p>
      <w:pPr>
        <w:pStyle w:val="Heading4"/>
      </w:pPr>
      <w:r>
        <w:rPr>
          <w:rFonts w:ascii="微软雅黑" w:eastAsia="微软雅黑" w:hAnsi="微软雅黑" w:cs="微软雅黑" w:hint="eastAsia"/>
          <w:lang w:eastAsia="zh-CN"/>
        </w:rPr>
        <w:t>3. 血缘与任务依赖（Marquez / DolphinScheduler）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数据血缘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：通过</w:t>
      </w:r>
      <w:r>
        <w:rPr>
          <w:color w:val="212121"/>
          <w:sz w:val="18"/>
        </w:rPr>
        <w:t xml:space="preserve"> OpenLineage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采集血缘信息，图谱化展示表级与字段级血缘，支持影响分析与溯源。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任务依赖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：管理工作流定义（含</w:t>
      </w:r>
      <w:r>
        <w:rPr>
          <w:color w:val="212121"/>
          <w:sz w:val="18"/>
        </w:rPr>
        <w:t xml:space="preserve"> DAG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画布）、任务配置、调度配置、任务实例与运行实例，呈现数据</w:t>
      </w:r>
      <w:r>
        <w:rPr>
          <w:color w:val="212121"/>
          <w:sz w:val="18"/>
        </w:rPr>
        <w:t>"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何时、依赖什么产出</w:t>
      </w:r>
      <w:r>
        <w:rPr>
          <w:color w:val="212121"/>
          <w:sz w:val="18"/>
        </w:rPr>
        <w:t>"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（三）非功能需求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类别</w:t>
            </w:r>
          </w:p>
        </w:tc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要求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性能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桌面端流式输出不阻塞界面交互；长列表采用虚拟滚动；语法高亮与语言服务不得在冷启动时造成可感知的卡顿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安全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敏感凭据不得存于前端本地持久化存储；明文密码迁移至主进程受控存储；非本机后端地址强制加密传输；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AI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助手默认以沙箱模式运行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兼容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桌面端支持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macOS / Windows / Linux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三平台打包；服务端支持主流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Linux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与多架构容器环境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可靠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服务生命周期由客户端托管，退出时优雅清理进程与锁文件；状态恢复失败时不得误判为成功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可维护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前后端分层清晰；纯逻辑抽为可单测的纯函数；关键安全闸门逻辑必须有单元测试覆盖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可观测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关键链路具备结构化日志；服务启停、语言服务状态、编译结果可在客户端内可视</w:t>
            </w:r>
          </w:p>
        </w:tc>
      </w:tr>
    </w:tbl>
    <w:p>
      <w:bookmarkStart w:id="12" w:name="_Toc_section_3"/>
      <w:bookmarkStart w:id="2" w:name="section-3"/>
      <w:pPr>
        <w:pStyle w:val="Heading2"/>
      </w:pPr>
      <w:bookmarkEnd w:id="2"/>
      <w:r>
        <w:rPr>
          <w:rFonts w:ascii="微软雅黑" w:eastAsia="微软雅黑" w:hAnsi="微软雅黑" w:cs="微软雅黑" w:hint="eastAsia"/>
          <w:lang w:eastAsia="zh-CN"/>
        </w:rPr>
        <w:t>三、总体架构</w:t>
      </w:r>
      <w:bookmarkEnd w:id="12"/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本章给出平台的总体架构，并说明核心设计原则与四项关键设计决策及其取舍依据。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（一）架构总览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平台由四大核心组件（</w:t>
      </w:r>
      <w:r>
        <w:t>dataforge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dataforge-server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Marquez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DolphinScheduler</w:t>
      </w:r>
      <w:r>
        <w:rPr>
          <w:rFonts w:ascii="微软雅黑" w:eastAsia="微软雅黑" w:hAnsi="微软雅黑" w:cs="微软雅黑" w:hint="eastAsia"/>
          <w:lang w:eastAsia="zh-CN"/>
        </w:rPr>
        <w:t>）构成，组件之间边界清晰：桌面端承载交互与本地计算，服务端承载信息底座，</w:t>
      </w:r>
      <w:r>
        <w:t xml:space="preserve">Marquez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DolphinScheduler </w:t>
      </w:r>
      <w:r>
        <w:rPr>
          <w:rFonts w:ascii="微软雅黑" w:eastAsia="微软雅黑" w:hAnsi="微软雅黑" w:cs="微软雅黑" w:hint="eastAsia"/>
          <w:lang w:eastAsia="zh-CN"/>
        </w:rPr>
        <w:t>承载血缘与任务依赖。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组件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承载能力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对智能体理解业务数据的贡献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dataforge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（桌面端）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规范开发环境：编辑器、语言服务、编译校验、代码头参数声明、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AI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助手运行时（沙箱）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保证开发产生的信息规范且无歧义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dataforge-server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库表描述、字段描述、指标描述、统一身份与多级权限、数据源与存储、审计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提供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表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/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字段是什么、指标口径是什么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Marquez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数据血缘信息（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OpenLineage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采集与图谱展示）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提供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数据从哪来、流向哪、影响谁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DolphinScheduler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任务依赖信息（工作流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DAG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调度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实例）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提供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数据由什么任务、在何时产出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</w:p>
        </w:tc>
      </w:tr>
    </w:tbl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（二）核心设计：智能体理解业务数据的五类信息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本平台把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让智能体正确理解业务数据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作为第一设计原则。智能体在生成或修改数据代码前，需要五类输入才能做到不凭空推断：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信息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来源组件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回答的问题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规范开发环境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dataforge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代码结构、参数声明、命名与口径是否规范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库表描述信息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dataforge-server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表与字段是什么、业务含义与约束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数据指标描述信息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dataforge-server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指标的计算口径与数据来源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数据血缘信息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Marquez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数据从哪来、流向哪、影响谁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任务依赖信息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DolphinScheduler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数据由什么任务、在何时、依赖什么产出</w:t>
            </w:r>
          </w:p>
        </w:tc>
      </w:tr>
    </w:tbl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这五类信息共同构成智能体的上下文供给层：规范开发环境决定信息</w:t>
      </w:r>
      <w:r>
        <w:rPr>
          <w:rFonts w:ascii="微软雅黑" w:eastAsia="微软雅黑" w:hAnsi="微软雅黑" w:cs="微软雅黑" w:hint="eastAsia"/>
          <w:b/>
          <w:lang w:eastAsia="zh-CN"/>
        </w:rPr>
        <w:t>源头是否无歧义</w:t>
      </w:r>
      <w:r>
        <w:rPr>
          <w:rFonts w:ascii="微软雅黑" w:eastAsia="微软雅黑" w:hAnsi="微软雅黑" w:cs="微软雅黑" w:hint="eastAsia"/>
          <w:lang w:eastAsia="zh-CN"/>
        </w:rPr>
        <w:t>，库表与指标描述决定</w:t>
      </w:r>
      <w:r>
        <w:rPr>
          <w:rFonts w:ascii="微软雅黑" w:eastAsia="微软雅黑" w:hAnsi="微软雅黑" w:cs="微软雅黑" w:hint="eastAsia"/>
          <w:b/>
          <w:lang w:eastAsia="zh-CN"/>
        </w:rPr>
        <w:t>语义是否权威</w:t>
      </w:r>
      <w:r>
        <w:rPr>
          <w:rFonts w:ascii="微软雅黑" w:eastAsia="微软雅黑" w:hAnsi="微软雅黑" w:cs="微软雅黑" w:hint="eastAsia"/>
          <w:lang w:eastAsia="zh-CN"/>
        </w:rPr>
        <w:t>，血缘与任务依赖决定</w:t>
      </w:r>
      <w:r>
        <w:rPr>
          <w:rFonts w:ascii="微软雅黑" w:eastAsia="微软雅黑" w:hAnsi="微软雅黑" w:cs="微软雅黑" w:hint="eastAsia"/>
          <w:b/>
          <w:lang w:eastAsia="zh-CN"/>
        </w:rPr>
        <w:t>来龙去脉是否可追溯</w:t>
      </w:r>
      <w:r>
        <w:rPr>
          <w:rFonts w:ascii="微软雅黑" w:eastAsia="微软雅黑" w:hAnsi="微软雅黑" w:cs="微软雅黑" w:hint="eastAsia"/>
          <w:lang w:eastAsia="zh-CN"/>
        </w:rPr>
        <w:t>。平台的建设顺序与优先级，均以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这五类信息是否就绪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为依据。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（三）关键技术设计决策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决策一：信息底座先行。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智能体能力的上限不由模型决定，而由它能否读到规范、无歧义的业务信息决定。因此平台的投入优先级是先建规范开发环境与四类信息底座，再逐步扩展运维与治理类能力。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决策二：从源头约束，而不是事后清洗。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库表描述、指标口径这些信息若靠事后人工补录，必然残缺且滞后。平台在开发环境侧就通过代码头参数声明、编译校验、命名与口径约束，让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规范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发生在信息产生的时刻，而不是在信息流转之后的补救阶段。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决策三：血缘与任务依赖直接集成成熟开源系统，不自研。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数据血缘与任务调度是通用基础设施，</w:t>
      </w:r>
      <w:r>
        <w:t>Marquez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OpenLineage</w:t>
      </w:r>
      <w:r>
        <w:rPr>
          <w:rFonts w:ascii="微软雅黑" w:eastAsia="微软雅黑" w:hAnsi="微软雅黑" w:cs="微软雅黑" w:hint="eastAsia"/>
          <w:lang w:eastAsia="zh-CN"/>
        </w:rPr>
        <w:t>）与</w:t>
      </w:r>
      <w:r>
        <w:t xml:space="preserve"> DolphinScheduler </w:t>
      </w:r>
      <w:r>
        <w:rPr>
          <w:rFonts w:ascii="微软雅黑" w:eastAsia="微软雅黑" w:hAnsi="微软雅黑" w:cs="微软雅黑" w:hint="eastAsia"/>
          <w:lang w:eastAsia="zh-CN"/>
        </w:rPr>
        <w:t>生态成熟。平台以集成代替自研，把工程投入集中在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如何把这些信息汇聚成智能体可用的上下文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这一差异化能力上。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决策四：AI 助手以内置运行时 + 沙箱方式提供，而非云端调用。</w:t>
      </w:r>
    </w:p>
    <w:p>
      <w:pPr>
        <w:ind w:firstLine="360"/>
      </w:pP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助手需要执行命令、读写工作区文件、调用本地编译服务，这些能力要求它运行在用户本机且受控。因此助手以本地进程形式由客户端托管，固定监听本机端口，并在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Linux </w:t>
      </w:r>
      <w:r>
        <w:rPr>
          <w:rFonts w:ascii="微软雅黑" w:eastAsia="微软雅黑" w:hAnsi="微软雅黑" w:cs="微软雅黑" w:hint="eastAsia"/>
          <w:lang w:eastAsia="zh-CN"/>
        </w:rPr>
        <w:t>上以系统级沙箱包装执行。</w:t>
      </w:r>
    </w:p>
    <w:p>
      <w:bookmarkStart w:id="13" w:name="_Toc_section_4"/>
      <w:bookmarkStart w:id="3" w:name="section-4"/>
      <w:pPr>
        <w:pStyle w:val="Heading2"/>
      </w:pPr>
      <w:bookmarkEnd w:id="3"/>
      <w:r>
        <w:rPr>
          <w:rFonts w:ascii="微软雅黑" w:eastAsia="微软雅黑" w:hAnsi="微软雅黑" w:cs="微软雅黑" w:hint="eastAsia"/>
          <w:lang w:eastAsia="zh-CN"/>
        </w:rPr>
        <w:t>四、组件设计</w:t>
      </w:r>
      <w:bookmarkEnd w:id="13"/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本章逐一说明四大核心组件与治理组件的设计，突出各自对智能体理解业务数据的贡献。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（一）DataForge 桌面端（规范开发环境）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技术形态</w:t>
      </w:r>
      <w:r>
        <w:rPr>
          <w:rFonts w:ascii="微软雅黑" w:eastAsia="微软雅黑" w:hAnsi="微软雅黑" w:cs="微软雅黑" w:hint="eastAsia"/>
          <w:lang w:eastAsia="zh-CN"/>
        </w:rPr>
        <w:t>：基于</w:t>
      </w:r>
      <w:r>
        <w:t xml:space="preserve"> Electron 44 </w:t>
      </w:r>
      <w:r>
        <w:rPr>
          <w:rFonts w:ascii="微软雅黑" w:eastAsia="微软雅黑" w:hAnsi="微软雅黑" w:cs="微软雅黑" w:hint="eastAsia"/>
          <w:lang w:eastAsia="zh-CN"/>
        </w:rPr>
        <w:t>的跨平台桌面应用，渲染层采用</w:t>
      </w:r>
      <w:r>
        <w:t xml:space="preserve"> React 19 + Vite 8 + TypeScript 7</w:t>
      </w:r>
      <w:r>
        <w:rPr>
          <w:rFonts w:ascii="微软雅黑" w:eastAsia="微软雅黑" w:hAnsi="微软雅黑" w:cs="微软雅黑" w:hint="eastAsia"/>
          <w:lang w:eastAsia="zh-CN"/>
        </w:rPr>
        <w:t>。当前工程规模为</w:t>
      </w:r>
      <w:r>
        <w:t xml:space="preserve"> 336 </w:t>
      </w:r>
      <w:r>
        <w:rPr>
          <w:rFonts w:ascii="微软雅黑" w:eastAsia="微软雅黑" w:hAnsi="微软雅黑" w:cs="微软雅黑" w:hint="eastAsia"/>
          <w:lang w:eastAsia="zh-CN"/>
        </w:rPr>
        <w:t>个</w:t>
      </w:r>
      <w:r>
        <w:t xml:space="preserve"> TypeScript / TSX / CSS </w:t>
      </w:r>
      <w:r>
        <w:rPr>
          <w:rFonts w:ascii="微软雅黑" w:eastAsia="微软雅黑" w:hAnsi="微软雅黑" w:cs="微软雅黑" w:hint="eastAsia"/>
          <w:lang w:eastAsia="zh-CN"/>
        </w:rPr>
        <w:t>文件、约</w:t>
      </w:r>
      <w:r>
        <w:t xml:space="preserve"> 7.99 </w:t>
      </w:r>
      <w:r>
        <w:rPr>
          <w:rFonts w:ascii="微软雅黑" w:eastAsia="微软雅黑" w:hAnsi="微软雅黑" w:cs="微软雅黑" w:hint="eastAsia"/>
          <w:lang w:eastAsia="zh-CN"/>
        </w:rPr>
        <w:t>万行代码。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主进程能力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模块</w:t>
            </w:r>
          </w:p>
        </w:tc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职责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AI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助手运行时管理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启动、监督、终止本地助手进程，固定监听本机端口；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macOS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以系统沙箱、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Linux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以容器沙箱包装；退出时优雅清理进程与数据库锁文件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编译服务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本地编译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HTTP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服务，随机端口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+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令牌鉴权，端点通过环境变量注入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AI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助手进程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语言服务桥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把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Java / Scala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语言服务器的标准输入输出流转换为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WebSocket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，供前端语言客户端使用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工程生成与编译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Maven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工程生成与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Java / Scala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编译、本地运行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配置与凭据存储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应用配置与安全凭据的分层存储，敏感项不落前端可读位置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平台适配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三平台路径、二进制命名与沙箱策略的差异化处理</w:t>
            </w:r>
          </w:p>
        </w:tc>
      </w:tr>
    </w:tbl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规范开发环境的关键机制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代码头参数三段式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程序文件头部以结构化字段声明程序参数（业务入参）、资源参数（资源诉求）、任务参数（提交与引擎侧参数），取值为真实值。它有统一消费面：运行程序时取参数名预填，提交调度时取真实值写入调度任务节点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运行程序必须确认参数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：任何程序运行前弹出参数确认窗口，参数以键值对逐行编辑，语义为</w:t>
      </w:r>
      <w:r>
        <w:rPr>
          <w:color w:val="212121"/>
          <w:sz w:val="18"/>
        </w:rPr>
        <w:t>"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所见即所发</w:t>
      </w:r>
      <w:r>
        <w:rPr>
          <w:color w:val="212121"/>
          <w:sz w:val="18"/>
        </w:rPr>
        <w:t>"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编译与 SQL 校验前置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：提交前必经本地编译与</w:t>
      </w:r>
      <w:r>
        <w:rPr>
          <w:color w:val="212121"/>
          <w:sz w:val="18"/>
        </w:rPr>
        <w:t xml:space="preserve"> SQL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校验，把语法与结构问题拦截在开发阶段。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删除与回滚安全闸门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：所有删除与回滚操作先经过纯函数化的安全评估，快照根节点为空一律中止；删除走回收站目录并生成清单，且回收站目录对版本控制隐身。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b/>
          <w:color w:val="212121"/>
          <w:sz w:val="18"/>
          <w:lang w:eastAsia="zh-CN"/>
        </w:rPr>
        <w:t>沙箱化执行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：</w:t>
      </w:r>
      <w:r>
        <w:rPr>
          <w:color w:val="212121"/>
          <w:sz w:val="18"/>
        </w:rPr>
        <w:t xml:space="preserve">AI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助手的命令执行默认运行在系统沙箱内。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渲染层功能模块包括：开发助手、编辑器、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面板、数据探索、指标管理、知识库、文件浏览器、调度管理、数据血缘、系统管理、设置。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（二）dataforge-server（库表描述 + 指标描述）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技术形态</w:t>
      </w:r>
      <w:r>
        <w:rPr>
          <w:rFonts w:ascii="微软雅黑" w:eastAsia="微软雅黑" w:hAnsi="微软雅黑" w:cs="微软雅黑" w:hint="eastAsia"/>
          <w:lang w:eastAsia="zh-CN"/>
        </w:rPr>
        <w:t>：基于</w:t>
      </w:r>
      <w:r>
        <w:t xml:space="preserve"> SpringBoot 3.2.1 + Java 17 </w:t>
      </w:r>
      <w:r>
        <w:rPr>
          <w:rFonts w:ascii="微软雅黑" w:eastAsia="微软雅黑" w:hAnsi="微软雅黑" w:cs="微软雅黑" w:hint="eastAsia"/>
          <w:lang w:eastAsia="zh-CN"/>
        </w:rPr>
        <w:t>的单体服务，采用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通用层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业务模块层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分层结构，共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个业务模块、</w:t>
      </w:r>
      <w:r>
        <w:t xml:space="preserve">20 </w:t>
      </w:r>
      <w:r>
        <w:rPr>
          <w:rFonts w:ascii="微软雅黑" w:eastAsia="微软雅黑" w:hAnsi="微软雅黑" w:cs="微软雅黑" w:hint="eastAsia"/>
          <w:lang w:eastAsia="zh-CN"/>
        </w:rPr>
        <w:t>个控制器、</w:t>
      </w:r>
      <w:r>
        <w:t xml:space="preserve">28 </w:t>
      </w:r>
      <w:r>
        <w:rPr>
          <w:rFonts w:ascii="微软雅黑" w:eastAsia="微软雅黑" w:hAnsi="微软雅黑" w:cs="微软雅黑" w:hint="eastAsia"/>
          <w:lang w:eastAsia="zh-CN"/>
        </w:rPr>
        <w:t>张表。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层次</w:t>
            </w:r>
          </w:p>
        </w:tc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技术底座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Spring Security 6 + JWT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jjwt 0.12.3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）、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MyBatis-Plus 3.5.5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MySQL / PostgreSQL / MariaDB / H2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Knife4j 4.4.0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OpenAPI 3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）、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Hutool 5.8.24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元数据模块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库表与字段元数据、元数据同步、元数据代理（供智能体使用）、指标与指标字段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系统管理模块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认证登录与令牌、用户、角色、权限与菜单权限、租户、项目权限、操作审计日志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运维管理模块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数据源配置、存储配置、分布式文件浏览、执行引擎管理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数据开发模块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开发工程、程序参数、代码执行（多引擎策略，含执行结果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日志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取消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校验）、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Jar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依赖管理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知识库模块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企业知识文档管理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数据质量模块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数据质量校验结果管理</w:t>
            </w:r>
          </w:p>
        </w:tc>
      </w:tr>
    </w:tbl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对智能体理解业务数据的贡献</w:t>
      </w:r>
      <w:r>
        <w:rPr>
          <w:rFonts w:ascii="微软雅黑" w:eastAsia="微软雅黑" w:hAnsi="微软雅黑" w:cs="微软雅黑" w:hint="eastAsia"/>
          <w:lang w:eastAsia="zh-CN"/>
        </w:rPr>
        <w:t>：通过元数据同步沉淀库表与字段描述，通过指标体系沉淀指标口径，通过元数据代理接口（</w:t>
      </w:r>
      <w:r>
        <w:t>/metadata/agent</w:t>
      </w:r>
      <w:r>
        <w:rPr>
          <w:rFonts w:ascii="微软雅黑" w:eastAsia="微软雅黑" w:hAnsi="微软雅黑" w:cs="微软雅黑" w:hint="eastAsia"/>
          <w:lang w:eastAsia="zh-CN"/>
        </w:rPr>
        <w:t>）把这些信息以结构化方式提供给智能体，回答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表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字段是什么、指标怎么算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权限模型</w:t>
      </w:r>
      <w:r>
        <w:rPr>
          <w:rFonts w:ascii="微软雅黑" w:eastAsia="微软雅黑" w:hAnsi="微软雅黑" w:cs="微软雅黑" w:hint="eastAsia"/>
          <w:lang w:eastAsia="zh-CN"/>
        </w:rPr>
        <w:t>：支持到行级与列级（</w:t>
      </w:r>
      <w:r>
        <w:t>sys_table_permission_row / sys_table_permission_column</w:t>
      </w:r>
      <w:r>
        <w:rPr>
          <w:rFonts w:ascii="微软雅黑" w:eastAsia="微软雅黑" w:hAnsi="微软雅黑" w:cs="微软雅黑" w:hint="eastAsia"/>
          <w:lang w:eastAsia="zh-CN"/>
        </w:rPr>
        <w:t>），文件权限按路径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存储配置维度控制。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（三）Marquez（数据血缘）</w:t>
      </w:r>
    </w:p>
    <w:p>
      <w:pPr>
        <w:ind w:firstLine="360"/>
      </w:pPr>
      <w:r>
        <w:t xml:space="preserve">Marquez </w:t>
      </w:r>
      <w:r>
        <w:rPr>
          <w:rFonts w:ascii="微软雅黑" w:eastAsia="微软雅黑" w:hAnsi="微软雅黑" w:cs="微软雅黑" w:hint="eastAsia"/>
          <w:lang w:eastAsia="zh-CN"/>
        </w:rPr>
        <w:t>是开源的元数据与血缘服务，本平台通过</w:t>
      </w:r>
      <w:r>
        <w:t xml:space="preserve"> OpenLineage </w:t>
      </w:r>
      <w:r>
        <w:rPr>
          <w:rFonts w:ascii="微软雅黑" w:eastAsia="微软雅黑" w:hAnsi="微软雅黑" w:cs="微软雅黑" w:hint="eastAsia"/>
          <w:lang w:eastAsia="zh-CN"/>
        </w:rPr>
        <w:t>标准采集作业级与数据集级血缘事件，并由桌面端的血缘视图图谱化展示。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血缘采集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通过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OpenLineage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传输端点采集作业运行时的输入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输出数据集事件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血缘展示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桌面端基于图可视化组件呈现表级与字段级血缘关系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影响分析与溯源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上游变更时识别受影响的下游表，指标异常时沿血缘上溯定位来源</w:t>
            </w:r>
          </w:p>
        </w:tc>
      </w:tr>
    </w:tbl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对智能体理解业务数据的贡献</w:t>
      </w:r>
      <w:r>
        <w:rPr>
          <w:rFonts w:ascii="微软雅黑" w:eastAsia="微软雅黑" w:hAnsi="微软雅黑" w:cs="微软雅黑" w:hint="eastAsia"/>
          <w:lang w:eastAsia="zh-CN"/>
        </w:rPr>
        <w:t>：血缘信息回答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数据从哪来、流向哪、影响谁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，是智能体判断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改动这张表会影响什么</w:t>
      </w:r>
      <w:r>
        <w:t>""</w:t>
      </w:r>
      <w:r>
        <w:rPr>
          <w:rFonts w:ascii="微软雅黑" w:eastAsia="微软雅黑" w:hAnsi="微软雅黑" w:cs="微软雅黑" w:hint="eastAsia"/>
          <w:lang w:eastAsia="zh-CN"/>
        </w:rPr>
        <w:t>这个指标的数据源头在哪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的依据。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（四）DolphinScheduler（任务依赖）</w:t>
      </w:r>
    </w:p>
    <w:p>
      <w:pPr>
        <w:ind w:firstLine="360"/>
      </w:pPr>
      <w:r>
        <w:t xml:space="preserve">DolphinScheduler </w:t>
      </w:r>
      <w:r>
        <w:rPr>
          <w:rFonts w:ascii="微软雅黑" w:eastAsia="微软雅黑" w:hAnsi="微软雅黑" w:cs="微软雅黑" w:hint="eastAsia"/>
          <w:lang w:eastAsia="zh-CN"/>
        </w:rPr>
        <w:t>是开源的工作流调度系统，本平台集成其项目管理、工作流定义、任务编排与实例监控能力，并把开发环境声明的参数落地为任务节点参数。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工作流定义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桌面端提供工作流定义编辑器与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DAG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画布，可视化编排任务依赖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任务配置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任务节点配置（程序参数、资源参数、任务参数、环境标识）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调度与实例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调度配置、任务实例与运行实例监控</w:t>
            </w:r>
          </w:p>
        </w:tc>
      </w:tr>
    </w:tbl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对智能体理解业务数据的贡献</w:t>
      </w:r>
      <w:r>
        <w:rPr>
          <w:rFonts w:ascii="微软雅黑" w:eastAsia="微软雅黑" w:hAnsi="微软雅黑" w:cs="微软雅黑" w:hint="eastAsia"/>
          <w:lang w:eastAsia="zh-CN"/>
        </w:rPr>
        <w:t>：任务依赖信息回答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数据由什么任务、在何时、依赖什么产出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，是智能体判断数据时效性与下游可用性的依据。</w:t>
      </w:r>
    </w:p>
    <w:p>
      <w:bookmarkStart w:id="14" w:name="_Toc_section_5"/>
      <w:bookmarkStart w:id="4" w:name="section-5"/>
      <w:pPr>
        <w:pStyle w:val="Heading2"/>
      </w:pPr>
      <w:bookmarkEnd w:id="4"/>
      <w:r>
        <w:rPr>
          <w:rFonts w:ascii="微软雅黑" w:eastAsia="微软雅黑" w:hAnsi="微软雅黑" w:cs="微软雅黑" w:hint="eastAsia"/>
          <w:lang w:eastAsia="zh-CN"/>
        </w:rPr>
        <w:t>五、功能模块规划与优先级</w:t>
      </w:r>
      <w:bookmarkEnd w:id="14"/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是否构成智能体理解业务数据的基础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划分优先级：规范开发环境与信息底座优先，运维与治理类能力次之。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优先级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模块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交付状态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dataforge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规范开发环境（编辑器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编译校验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代码头参数声明）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已落地，持续迭代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dataforge-server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库表与字段描述、元数据同步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已落地，待深化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dataforge-server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指标描述与口径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已落地，待深化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统一认证授权与多级权限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已落地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Marquez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血缘集成与图谱展示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已落地，待深化字段级追溯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DolphinScheduler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调度与任务依赖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已落地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数据探索、文件浏览、知识库、库表管理、任务监控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已落地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待扩展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AI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开发助手全功能（会话、工具、审批）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已落地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智能体业务工具组（编译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指标查询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知识文档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血缘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元数据代理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SQL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校验）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已落地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元数据代理接口（供智能体取库表与指标上下文）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已落地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一键上线调度（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SQL / Scala / Java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提交调度，代码头参数落地任务节点）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已具备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自动化问题排障（基于集群部署信息与任务依赖关系的根因定位）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规划中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知识检索增强（当前知识库为关键字匹配，拟引入向量检索）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规划中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P2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数据价值评估（数据资产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×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资源消耗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×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使用热度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→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价值评估）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规划中</w:t>
            </w:r>
          </w:p>
        </w:tc>
      </w:tr>
    </w:tbl>
    <w:p>
      <w:pPr>
        <w:spacing w:after="162"/>
        <w:ind w:firstLine="0"/>
        <w:jc w:val="both"/>
        <w:pBdr>
          <w:left w:val="single" w:sz="24" w:space="0" w:color="1565C0"/>
        </w:pBdr>
        <w:shd w:val="clear" w:color="auto" w:fill="F5F7FA"/>
      </w:pPr>
      <w:r>
        <w:rPr>
          <w:color w:val="212121"/>
          <w:sz w:val="18"/>
        </w:rPr>
        <w:t xml:space="preserve">  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关于</w:t>
      </w:r>
      <w:r>
        <w:rPr>
          <w:color w:val="212121"/>
          <w:sz w:val="18"/>
        </w:rPr>
        <w:t xml:space="preserve"> AI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能力的落点：智能体能力以</w:t>
      </w:r>
      <w:r>
        <w:rPr>
          <w:color w:val="212121"/>
          <w:sz w:val="18"/>
        </w:rPr>
        <w:t>"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本地</w:t>
      </w:r>
      <w:r>
        <w:rPr>
          <w:color w:val="212121"/>
          <w:sz w:val="18"/>
        </w:rPr>
        <w:t xml:space="preserve"> sidecar +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工具</w:t>
      </w:r>
      <w:r>
        <w:rPr>
          <w:color w:val="212121"/>
          <w:sz w:val="18"/>
        </w:rPr>
        <w:t xml:space="preserve"> +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平台上下文接口</w:t>
      </w:r>
      <w:r>
        <w:rPr>
          <w:color w:val="212121"/>
          <w:sz w:val="18"/>
        </w:rPr>
        <w:t>"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的形态落地</w:t>
      </w:r>
      <w:r>
        <w:rPr>
          <w:color w:val="212121"/>
          <w:sz w:val="18"/>
        </w:rPr>
        <w:t>——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推理在桌面端本地进程执行（模型与密钥由用户自配），业务能力以</w:t>
      </w:r>
      <w:r>
        <w:rPr>
          <w:color w:val="212121"/>
          <w:sz w:val="18"/>
        </w:rPr>
        <w:t xml:space="preserve"> 6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个工具组形式注册给智能体，并通过元数据代理等接口从平台取上下文。规划中的知识检索增强，指把知识库检索从当前的关键字匹配升级为向量检索（当前无向量库与嵌入模型），以提升智能体生成代码前检索业务知识的准确率。</w:t>
      </w:r>
    </w:p>
    <w:p>
      <w:bookmarkStart w:id="15" w:name="_Toc_section_6"/>
      <w:bookmarkStart w:id="5" w:name="section-6"/>
      <w:pPr>
        <w:pStyle w:val="Heading2"/>
      </w:pPr>
      <w:bookmarkEnd w:id="5"/>
      <w:r>
        <w:rPr>
          <w:rFonts w:ascii="微软雅黑" w:eastAsia="微软雅黑" w:hAnsi="微软雅黑" w:cs="微软雅黑" w:hint="eastAsia"/>
          <w:lang w:eastAsia="zh-CN"/>
        </w:rPr>
        <w:t>六、推广计划与公开活动时间计划</w:t>
      </w:r>
      <w:bookmarkEnd w:id="15"/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本章给出推广目标、推广渠道与公开活动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比赛参与计划，并明确各阶段的时间节点与产出。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（一）推广目标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目标维度</w:t>
            </w:r>
          </w:p>
        </w:tc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具体目标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品牌认知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进入数据开发与数据智能体细分赛道的可见名单，形成可被检索的公开案例与赛事履历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客户转化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支撑收入测算中的客户规模目标（保守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5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家、中性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家、乐观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30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家，口径见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1.5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预估收入）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生态背书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通过官方赛事获奖、行业协会与信通院类评选获得第三方背书，降低客户决策成本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内容资产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沉淀行业案例集、演示环境与赛事申报材料，可复用于销售与投标</w:t>
            </w:r>
          </w:p>
        </w:tc>
      </w:tr>
    </w:tbl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（二）推广渠道与方式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渠道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形式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目标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官方赛事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「数据要素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×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」大赛、创客中国、中国创新创业大赛等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获取权威背书与政策资源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行业会议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大数据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数据库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数据要素类大会的分享或展位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触达企业数据团队与决策者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产学研合作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高校宣讲、联合课题、实习基地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人才储备与技术影响力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客户现场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案例分享会、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POC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试点、行业沙龙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直接转化商机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线上内容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官网案例页、技术社区文章、公众号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长尾获客与品牌沉淀</w:t>
            </w:r>
          </w:p>
        </w:tc>
      </w:tr>
    </w:tbl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（三）公开活动与比赛参与计划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（1）眼前窗口（2026 年 9—12 月，可立即报名）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以下窗口经核实当前仍可报名，是本期冲刺的重点，优先级高于次年赛季。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赛事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 xml:space="preserve"> / 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活动</w:t>
            </w:r>
          </w:p>
        </w:tc>
        <w:tc>
          <w:tcPr>
            <w:tcW w:type="dxa" w:w="1728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主办方</w:t>
            </w:r>
          </w:p>
        </w:tc>
        <w:tc>
          <w:tcPr>
            <w:tcW w:type="dxa" w:w="1728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报名窗口</w:t>
            </w:r>
          </w:p>
        </w:tc>
        <w:tc>
          <w:tcPr>
            <w:tcW w:type="dxa" w:w="1728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参与形式</w:t>
            </w:r>
          </w:p>
        </w:tc>
        <w:tc>
          <w:tcPr>
            <w:tcW w:type="dxa" w:w="1728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目标产出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2026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联合国数据马拉松中国赛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联合国统计司、联合国统计大数据和数据科学全球中心、之江实验室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报名截止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日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以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"AI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智能体赋能业务数据理解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场景参赛，提交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PPT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10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分钟以内讲解视频与可访问的智能体链接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首个国际性赛事履历与作品展示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「数智杯」数据管理创新应用大赛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中国电子信息行业联合会（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DCMM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贯标）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项目征集至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31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日；初赛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11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1—14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日；决赛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11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15—17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日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报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数据管理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AI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应用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赛道，以平台的元数据与指标治理能力参赛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决赛答辩与奖项，争取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DCMM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生态资源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2026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第五届数据治理年会暨博览会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中国电子信息行业联合会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11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月中下旬（含颁奖）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参会、参展或案例发布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行业曝光与客户触达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2026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世界互联网大会乌镇峰会（含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互联网之光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博览会）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世界互联网大会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11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日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参会或参展，重点对接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AI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智能体与数据要素方向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品牌曝光与生态对接</w:t>
            </w:r>
          </w:p>
        </w:tc>
      </w:tr>
    </w:tbl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（2）2027 赛季（按 2026 赛程规律排布）</w:t>
      </w:r>
    </w:p>
    <w:p>
      <w:pPr>
        <w:ind w:firstLine="360"/>
      </w:pPr>
      <w:r>
        <w:t xml:space="preserve">2026 </w:t>
      </w:r>
      <w:r>
        <w:rPr>
          <w:rFonts w:ascii="微软雅黑" w:eastAsia="微软雅黑" w:hAnsi="微软雅黑" w:cs="微软雅黑" w:hint="eastAsia"/>
          <w:lang w:eastAsia="zh-CN"/>
        </w:rPr>
        <w:t>赛季的官方赛事集中在</w:t>
      </w:r>
      <w:r>
        <w:t xml:space="preserve"> 5—9 </w:t>
      </w:r>
      <w:r>
        <w:rPr>
          <w:rFonts w:ascii="微软雅黑" w:eastAsia="微软雅黑" w:hAnsi="微软雅黑" w:cs="微软雅黑" w:hint="eastAsia"/>
          <w:lang w:eastAsia="zh-CN"/>
        </w:rPr>
        <w:t>月：数据要素</w:t>
      </w:r>
      <w:r>
        <w:t>×</w:t>
      </w:r>
      <w:r>
        <w:rPr>
          <w:rFonts w:ascii="微软雅黑" w:eastAsia="微软雅黑" w:hAnsi="微软雅黑" w:cs="微软雅黑" w:hint="eastAsia"/>
          <w:lang w:eastAsia="zh-CN"/>
        </w:rPr>
        <w:t>大赛全国于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月下旬启动、分赛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月报名、</w:t>
      </w:r>
      <w:r>
        <w:t xml:space="preserve">7—8 </w:t>
      </w:r>
      <w:r>
        <w:rPr>
          <w:rFonts w:ascii="微软雅黑" w:eastAsia="微软雅黑" w:hAnsi="微软雅黑" w:cs="微软雅黑" w:hint="eastAsia"/>
          <w:lang w:eastAsia="zh-CN"/>
        </w:rPr>
        <w:t>月评审、</w:t>
      </w:r>
      <w:r>
        <w:t xml:space="preserve">8 </w:t>
      </w:r>
      <w:r>
        <w:rPr>
          <w:rFonts w:ascii="微软雅黑" w:eastAsia="微软雅黑" w:hAnsi="微软雅黑" w:cs="微软雅黑" w:hint="eastAsia"/>
          <w:lang w:eastAsia="zh-CN"/>
        </w:rPr>
        <w:t>月下旬颁奖；创客中国报名截止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月</w:t>
      </w:r>
      <w:r>
        <w:t xml:space="preserve"> 10 </w:t>
      </w:r>
      <w:r>
        <w:rPr>
          <w:rFonts w:ascii="微软雅黑" w:eastAsia="微软雅黑" w:hAnsi="微软雅黑" w:cs="微软雅黑" w:hint="eastAsia"/>
          <w:lang w:eastAsia="zh-CN"/>
        </w:rPr>
        <w:t>日、</w:t>
      </w:r>
      <w:r>
        <w:t xml:space="preserve">8 </w:t>
      </w:r>
      <w:r>
        <w:rPr>
          <w:rFonts w:ascii="微软雅黑" w:eastAsia="微软雅黑" w:hAnsi="微软雅黑" w:cs="微软雅黑" w:hint="eastAsia"/>
          <w:lang w:eastAsia="zh-CN"/>
        </w:rPr>
        <w:t>月分级选拔、</w:t>
      </w:r>
      <w:r>
        <w:t xml:space="preserve">9 </w:t>
      </w:r>
      <w:r>
        <w:rPr>
          <w:rFonts w:ascii="微软雅黑" w:eastAsia="微软雅黑" w:hAnsi="微软雅黑" w:cs="微软雅黑" w:hint="eastAsia"/>
          <w:lang w:eastAsia="zh-CN"/>
        </w:rPr>
        <w:t>月</w:t>
      </w:r>
      <w:r>
        <w:t xml:space="preserve"> 10 </w:t>
      </w:r>
      <w:r>
        <w:rPr>
          <w:rFonts w:ascii="微软雅黑" w:eastAsia="微软雅黑" w:hAnsi="微软雅黑" w:cs="微软雅黑" w:hint="eastAsia"/>
          <w:lang w:eastAsia="zh-CN"/>
        </w:rPr>
        <w:t>日前推荐全国。</w:t>
      </w:r>
      <w:r>
        <w:t xml:space="preserve">2027 </w:t>
      </w:r>
      <w:r>
        <w:rPr>
          <w:rFonts w:ascii="微软雅黑" w:eastAsia="微软雅黑" w:hAnsi="微软雅黑" w:cs="微软雅黑" w:hint="eastAsia"/>
          <w:lang w:eastAsia="zh-CN"/>
        </w:rPr>
        <w:t>赛季按其规律排布，</w:t>
      </w:r>
      <w:r>
        <w:rPr>
          <w:rFonts w:ascii="微软雅黑" w:eastAsia="微软雅黑" w:hAnsi="微软雅黑" w:cs="微软雅黑" w:hint="eastAsia"/>
          <w:b/>
          <w:lang w:eastAsia="zh-CN"/>
        </w:rPr>
        <w:t>具体时间以主办方官方公告为准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赛事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 xml:space="preserve"> / 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活动</w:t>
            </w:r>
          </w:p>
        </w:tc>
        <w:tc>
          <w:tcPr>
            <w:tcW w:type="dxa" w:w="1728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主办方</w:t>
            </w:r>
          </w:p>
        </w:tc>
        <w:tc>
          <w:tcPr>
            <w:tcW w:type="dxa" w:w="1728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参考时间窗口</w:t>
            </w:r>
          </w:p>
        </w:tc>
        <w:tc>
          <w:tcPr>
            <w:tcW w:type="dxa" w:w="1728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参与形式</w:t>
            </w:r>
          </w:p>
        </w:tc>
        <w:tc>
          <w:tcPr>
            <w:tcW w:type="dxa" w:w="1728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目标产出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「数据要素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×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」大赛（分赛）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国家数据局指导、省级数据局主办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5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月下旬启动，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月报名，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7—8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月上旬评审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以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数据开发平台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+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数据要素治理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场景参赛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分赛获奖，进入全国总决赛推荐名单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「数据要素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×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」大赛（全国总决赛）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国家数据局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8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月下旬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—9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由分赛推荐参赛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全国奖项或典型案例集入选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「创客中国」中小企业创新创业大赛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工信部（网络安全产业发展中心）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报名至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7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日；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8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月市级与省级选拔；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8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月下旬省级决赛；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9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日前推荐全国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企业组参赛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晋级全国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500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强，获取专精特新培育与产融对接资源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「创客中国」工业智能体专题赛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工信部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+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地方经信部门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报名至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7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日；初赛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7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月下旬；复赛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8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月上旬；决赛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9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月初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以数据开发智能体场景参赛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专题赛奖项，争取算力与攻关类政策支持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中国创新创业大赛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科技部等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以官方公告为准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企业组参赛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区域赛奖项，获取投融资对接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行业技术会议（大数据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数据库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数据要素类）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行业协会与媒体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全年分散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技术分享、展位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触达潜在客户与合作伙伴</w:t>
            </w:r>
          </w:p>
        </w:tc>
      </w:tr>
    </w:tbl>
    <w:p>
      <w:pPr>
        <w:spacing w:after="162"/>
        <w:ind w:firstLine="0"/>
        <w:jc w:val="both"/>
        <w:pBdr>
          <w:left w:val="single" w:sz="24" w:space="0" w:color="1565C0"/>
        </w:pBdr>
        <w:shd w:val="clear" w:color="auto" w:fill="F5F7FA"/>
      </w:pPr>
      <w:r>
        <w:rPr>
          <w:color w:val="212121"/>
          <w:sz w:val="18"/>
        </w:rPr>
        <w:t xml:space="preserve">  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参赛资格提示：「创客中国」创业组要求企业注册不满</w:t>
      </w:r>
      <w:r>
        <w:rPr>
          <w:color w:val="212121"/>
          <w:sz w:val="18"/>
        </w:rPr>
        <w:t xml:space="preserve"> 2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年、企业组要求项目已进入市场；「数据要素</w:t>
      </w:r>
      <w:r>
        <w:rPr>
          <w:color w:val="212121"/>
          <w:sz w:val="18"/>
        </w:rPr>
        <w:t>×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」大赛要求项目已开展实际应用。建议在准备期先完成主体资质与知识产权梳理，避免临期受阻。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（四）时间计划（冲刺节奏）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以本计划书编制日为起点，按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先赶眼前窗口、并行准备次年赛季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安排：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时间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关键动作</w:t>
            </w:r>
          </w:p>
        </w:tc>
        <w:tc>
          <w:tcPr>
            <w:tcW w:type="dxa" w:w="288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里程碑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2026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年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9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月下半月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确定参赛主体与项目名称；搭建申报材料骨架（项目申报书、商业计划书、知识产权与应用案例证明）；确定冲刺目标清单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材料骨架成型，参赛清单与责任人确定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2026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年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9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月下旬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—10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完成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2026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联合国数据马拉松中国赛报名与作品提交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首个参赛作品提交完成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2026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年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打磨「数智杯」申报材料与演示环境，准备案例数据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数智杯材料定稿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2026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年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31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日前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提交「数智杯」数据管理创新应用大赛项目征集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报名完成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2026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年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11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参加世界互联网大会乌镇峰会（含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互联网之光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"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博览会）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完成行业曝光与客户触达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2026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年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11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1—17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「数智杯」初赛评审与决赛答辩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争取决赛奖项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2026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年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11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月中下旬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参加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2026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第五届数据治理年会暨博览会（含颁奖）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获取奖项与行业背书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2026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年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12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复盘赛事成果，沉淀案例与商机；启动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2027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赛季申报准备（数据要素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×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、创客中国）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案例入库，次年参赛清单确定</w:t>
            </w:r>
          </w:p>
        </w:tc>
      </w:tr>
    </w:tbl>
    <w:p>
      <w:pPr>
        <w:spacing w:after="162"/>
        <w:ind w:firstLine="0"/>
        <w:jc w:val="both"/>
        <w:pBdr>
          <w:left w:val="single" w:sz="24" w:space="0" w:color="1565C0"/>
        </w:pBdr>
        <w:shd w:val="clear" w:color="auto" w:fill="F5F7FA"/>
      </w:pPr>
      <w:r>
        <w:rPr>
          <w:color w:val="212121"/>
          <w:sz w:val="18"/>
        </w:rPr>
        <w:t xml:space="preserve">  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说明：眼前窗口的报名截止时间以主办方官方页面为准；</w:t>
      </w:r>
      <w:r>
        <w:rPr>
          <w:color w:val="212121"/>
          <w:sz w:val="18"/>
        </w:rPr>
        <w:t xml:space="preserve">2027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赛季时间窗口按</w:t>
      </w:r>
      <w:r>
        <w:rPr>
          <w:color w:val="212121"/>
          <w:sz w:val="18"/>
        </w:rPr>
        <w:t xml:space="preserve"> 2026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赛季实际赛程推算。</w:t>
      </w:r>
    </w:p>
    <w:p>
      <w:bookmarkStart w:id="16" w:name="_Toc_section_7"/>
      <w:bookmarkStart w:id="6" w:name="section-7"/>
      <w:pPr>
        <w:pStyle w:val="Heading2"/>
      </w:pPr>
      <w:bookmarkEnd w:id="6"/>
      <w:r>
        <w:rPr>
          <w:rFonts w:ascii="微软雅黑" w:eastAsia="微软雅黑" w:hAnsi="微软雅黑" w:cs="微软雅黑" w:hint="eastAsia"/>
          <w:lang w:eastAsia="zh-CN"/>
        </w:rPr>
        <w:t>七、风险识别与应对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216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风险</w:t>
            </w:r>
          </w:p>
        </w:tc>
        <w:tc>
          <w:tcPr>
            <w:tcW w:type="dxa" w:w="216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影响</w:t>
            </w:r>
          </w:p>
        </w:tc>
        <w:tc>
          <w:tcPr>
            <w:tcW w:type="dxa" w:w="216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应对措施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R1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信息底座不完善（表注释缺失、指标口径不统一）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智能体读不到权威信息，理解出错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从源头约束：开发环境强制参数声明与口径约束；元数据同步自动化；缺失信息可检索、可标注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R2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血缘与任务依赖信息不全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影响分析与溯源失真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依赖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OpenLineage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标准采集；对缺失场景做降级标注而非静默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R3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AI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生成的代码存在口径错误或危险操作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错误写入被放大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编译与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SQL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校验拦截语法结构问题；权限模式与人工审批控制执行范围；关键改动配套回归测试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R4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多租户与权限边界不严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数据与配置越权访问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角色与租户双重维度收敛权限；可信凭据集中在主进程受控存储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R5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删除与回滚失误导致数据不可恢复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工作区代码或文件丢失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安全评估闸门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+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回收站机制，可人工恢复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R6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敏感凭据泄露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安全合规问题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禁止前端持久化存储令牌密钥；非本机后端强制加密传输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R7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依赖上游系统（血缘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/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调度）接口变更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相关功能不可用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上游对接收敛在服务端接口层，客户端不直连；异常做降级提示</w:t>
            </w:r>
          </w:p>
        </w:tc>
      </w:tr>
    </w:tbl>
    <w:p>
      <w:bookmarkStart w:id="17" w:name="_Toc_section_8"/>
      <w:bookmarkStart w:id="7" w:name="section-8"/>
      <w:pPr>
        <w:pStyle w:val="Heading2"/>
      </w:pPr>
      <w:bookmarkEnd w:id="7"/>
      <w:r>
        <w:rPr>
          <w:rFonts w:ascii="微软雅黑" w:eastAsia="微软雅黑" w:hAnsi="微软雅黑" w:cs="微软雅黑" w:hint="eastAsia"/>
          <w:lang w:eastAsia="zh-CN"/>
        </w:rPr>
        <w:t>八、验收标准与质量保障</w:t>
      </w:r>
      <w:bookmarkEnd w:id="17"/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本章列出交付物清单，并明确功能验收范围、质量保障标准与交付验收的组织方式。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（一）交付物清单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桌面端应用的三平台安装包与升级包。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平台服务端的容器镜像（多架构）与编排文件、初始化脚本、启停与清理脚本、端到端自检脚本。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用户手册、部署手册、验收测试报告。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（二）功能验收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桌面端在</w:t>
      </w:r>
      <w:r>
        <w:rPr>
          <w:color w:val="212121"/>
          <w:sz w:val="18"/>
        </w:rPr>
        <w:t xml:space="preserve"> macOS / Windows / Linux </w:t>
      </w: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三平台可安装启动，核心链路（登录、开发、编译、参数声明、提交调度、数据探索、血缘查看）可用。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平台服务端全部已声明接口通过联调与自检脚本验证，权限控制按角色生效，库表描述与指标口径可检索。</w:t>
      </w:r>
    </w:p>
    <w:p>
      <w:pPr>
        <w:pStyle w:val="ListBullet"/>
        <w:spacing w:line="384" w:lineRule="auto" w:after="90"/>
        <w:jc w:val="left"/>
      </w:pPr>
      <w:r>
        <w:rPr>
          <w:rFonts w:ascii="微软雅黑" w:eastAsia="微软雅黑" w:hAnsi="微软雅黑" w:cs="微软雅黑" w:hint="eastAsia"/>
          <w:color w:val="212121"/>
          <w:sz w:val="18"/>
          <w:lang w:eastAsia="zh-CN"/>
        </w:rPr>
        <w:t>血缘与任务依赖在平台内可查询：表的字段血缘与任务依赖关系完整展示。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（三）质量保障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标准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单元测试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桌面端依赖自动化测试框架覆盖核心逻辑；纯函数必须有分支覆盖，测试全量通过作为回归基线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类型检查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前端与主进程代码通过静态类型检查，无类型错误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兼容性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交付前在目标平台与依赖版本矩阵上逐版本执行最小用例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专项验证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涉及安全闸门、参数语义、权限判定的改动必须配套自动化测试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性能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建立性能基线并保留对比数据；关键路径有可量化的优化前后对比</w:t>
            </w:r>
          </w:p>
        </w:tc>
      </w:tr>
    </w:tbl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（四）交付验收方式</w:t>
      </w:r>
    </w:p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由项目负责人组织，交付方提供测试报告、兼容性验证记录与部署手册；验收方按功能清单逐项验证。</w:t>
      </w:r>
    </w:p>
    <w:p>
      <w:bookmarkStart w:id="18" w:name="_Toc_section_9"/>
      <w:bookmarkStart w:id="8" w:name="section-9"/>
      <w:pPr>
        <w:pStyle w:val="Heading2"/>
      </w:pPr>
      <w:bookmarkEnd w:id="8"/>
      <w:r>
        <w:rPr>
          <w:rFonts w:ascii="微软雅黑" w:eastAsia="微软雅黑" w:hAnsi="微软雅黑" w:cs="微软雅黑" w:hint="eastAsia"/>
          <w:lang w:eastAsia="zh-CN"/>
        </w:rPr>
        <w:t>九、预期效益</w:t>
      </w:r>
      <w:bookmarkEnd w:id="18"/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智能体正确理解业务数据</w:t>
      </w:r>
      <w:r>
        <w:rPr>
          <w:rFonts w:ascii="微软雅黑" w:eastAsia="微软雅黑" w:hAnsi="微软雅黑" w:cs="微软雅黑" w:hint="eastAsia"/>
          <w:lang w:eastAsia="zh-CN"/>
        </w:rPr>
        <w:t>。这是本平台的首要效益：把散落在代码、文档、口头经验中的业务信息，收敛为规范无歧义的库表描述、指标描述、血缘与任务依赖，让智能体在生成代码前就能读到权威上下文，从根上降低</w:t>
      </w:r>
      <w:r>
        <w:t xml:space="preserve">"AI </w:t>
      </w:r>
      <w:r>
        <w:rPr>
          <w:rFonts w:ascii="微软雅黑" w:eastAsia="微软雅黑" w:hAnsi="微软雅黑" w:cs="微软雅黑" w:hint="eastAsia"/>
          <w:lang w:eastAsia="zh-CN"/>
        </w:rPr>
        <w:t>生成代码是否正确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的不确定性。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开发效率效益</w:t>
      </w:r>
      <w:r>
        <w:rPr>
          <w:rFonts w:ascii="微软雅黑" w:eastAsia="微软雅黑" w:hAnsi="微软雅黑" w:cs="微软雅黑" w:hint="eastAsia"/>
          <w:lang w:eastAsia="zh-CN"/>
        </w:rPr>
        <w:t>。规范开发环境把数据开发收敛到一个受约束的入口，消除跨工具切换与手工配置的重复劳动。参考行业同类实践的量化结果，指标开发类工作可从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至</w:t>
      </w:r>
      <w:r>
        <w:t xml:space="preserve"> 8 </w:t>
      </w:r>
      <w:r>
        <w:rPr>
          <w:rFonts w:ascii="微软雅黑" w:eastAsia="微软雅黑" w:hAnsi="微软雅黑" w:cs="微软雅黑" w:hint="eastAsia"/>
          <w:lang w:eastAsia="zh-CN"/>
        </w:rPr>
        <w:t>小时压缩到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至</w:t>
      </w:r>
      <w:r>
        <w:t xml:space="preserve"> 10 </w:t>
      </w:r>
      <w:r>
        <w:rPr>
          <w:rFonts w:ascii="微软雅黑" w:eastAsia="微软雅黑" w:hAnsi="微软雅黑" w:cs="微软雅黑" w:hint="eastAsia"/>
          <w:lang w:eastAsia="zh-CN"/>
        </w:rPr>
        <w:t>分钟，代码规范合规率可提升至</w:t>
      </w:r>
      <w:r>
        <w:t xml:space="preserve"> 98% </w:t>
      </w:r>
      <w:r>
        <w:rPr>
          <w:rFonts w:ascii="微软雅黑" w:eastAsia="微软雅黑" w:hAnsi="微软雅黑" w:cs="微软雅黑" w:hint="eastAsia"/>
          <w:lang w:eastAsia="zh-CN"/>
        </w:rPr>
        <w:t>的自动化校验水平。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数据质量效益</w:t>
      </w:r>
      <w:r>
        <w:rPr>
          <w:rFonts w:ascii="微软雅黑" w:eastAsia="微软雅黑" w:hAnsi="微软雅黑" w:cs="微软雅黑" w:hint="eastAsia"/>
          <w:lang w:eastAsia="zh-CN"/>
        </w:rPr>
        <w:t>。规范开发环境把参数声明与口径约束前置，编译与</w:t>
      </w:r>
      <w:r>
        <w:t xml:space="preserve"> SQL </w:t>
      </w:r>
      <w:r>
        <w:rPr>
          <w:rFonts w:ascii="微软雅黑" w:eastAsia="微软雅黑" w:hAnsi="微软雅黑" w:cs="微软雅黑" w:hint="eastAsia"/>
          <w:lang w:eastAsia="zh-CN"/>
        </w:rPr>
        <w:t>校验在开发阶段拦截语法与结构问题，减少因口径误读或结构错误引发的数据污染，把修复成本从下游回洗前移到编码当下。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资产沉淀效益</w:t>
      </w:r>
      <w:r>
        <w:rPr>
          <w:rFonts w:ascii="微软雅黑" w:eastAsia="微软雅黑" w:hAnsi="微软雅黑" w:cs="微软雅黑" w:hint="eastAsia"/>
          <w:lang w:eastAsia="zh-CN"/>
        </w:rPr>
        <w:t>。库表描述、指标口径、血缘与任务依赖沉淀在平台侧，成为可复用的组织资产，同时构成智能体的上下文供给层，形成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信息越规范、智能体越准确、开发越快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的正向循环。</w:t>
      </w:r>
    </w:p>
    <w:p>
      <w:bookmarkStart w:id="19" w:name="_Toc_section_10"/>
      <w:bookmarkStart w:id="9" w:name="section-10"/>
      <w:pPr>
        <w:pStyle w:val="Heading2"/>
      </w:pPr>
      <w:bookmarkEnd w:id="9"/>
      <w:r>
        <w:rPr>
          <w:rFonts w:ascii="微软雅黑" w:eastAsia="微软雅黑" w:hAnsi="微软雅黑" w:cs="微软雅黑" w:hint="eastAsia"/>
          <w:lang w:eastAsia="zh-CN"/>
        </w:rPr>
        <w:t>十、附录：现状基线</w:t>
      </w:r>
      <w:bookmarkEnd w:id="19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0"/>
            <w:gridSpan w:val="5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平台核心一览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FFFF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  <w:jc w:val="center"/>
            </w:pPr>
            <w:r>
              <w:rPr>
                <w:rFonts w:ascii="DIN Next" w:hAnsi="DIN Next"/>
                <w:b/>
                <w:color w:val="1565C0"/>
                <w:sz w:val="22"/>
              </w:rPr>
              <w:t>4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>核心组件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FFFF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  <w:jc w:val="center"/>
            </w:pPr>
            <w:r>
              <w:rPr>
                <w:rFonts w:ascii="DIN Next" w:hAnsi="DIN Next"/>
                <w:b/>
                <w:color w:val="1565C0"/>
                <w:sz w:val="22"/>
              </w:rPr>
              <w:t>5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>类上下文信息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FFFF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  <w:jc w:val="center"/>
            </w:pPr>
            <w:r>
              <w:rPr>
                <w:rFonts w:ascii="DIN Next" w:hAnsi="DIN Next"/>
                <w:b/>
                <w:color w:val="1565C0"/>
                <w:sz w:val="22"/>
              </w:rPr>
              <w:t>28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>张服务端表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FFFF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  <w:jc w:val="center"/>
            </w:pPr>
            <w:r>
              <w:rPr>
                <w:rFonts w:ascii="DIN Next" w:hAnsi="DIN Next"/>
                <w:b/>
                <w:color w:val="1565C0"/>
                <w:sz w:val="22"/>
              </w:rPr>
              <w:t>797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>自动化测试用例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FFFFF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line="240" w:lineRule="auto" w:before="60" w:after="60"/>
              <w:jc w:val="center"/>
            </w:pPr>
            <w:r>
              <w:rPr>
                <w:rFonts w:ascii="DIN Next" w:hAnsi="DIN Next"/>
                <w:b/>
                <w:color w:val="1565C0"/>
                <w:sz w:val="22"/>
              </w:rPr>
              <w:t>13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>种数据源类型</w:t>
            </w:r>
          </w:p>
        </w:tc>
      </w:tr>
    </w:tbl>
    <w:p>
      <w:pPr>
        <w:ind w:firstLine="360"/>
      </w:pPr>
      <w:r>
        <w:rPr>
          <w:rFonts w:ascii="微软雅黑" w:eastAsia="微软雅黑" w:hAnsi="微软雅黑" w:cs="微软雅黑" w:hint="eastAsia"/>
          <w:lang w:eastAsia="zh-CN"/>
        </w:rPr>
        <w:t>本附录汇总各子系统的现状规模与关键配置项，作为计划书的事实依据与后续变更的比对基线。</w:t>
      </w:r>
    </w:p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工程规模基线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子系统</w:t>
            </w:r>
          </w:p>
        </w:tc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规模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dataforge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桌面端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336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个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TypeScript / TSX / CSS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文件，约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7.99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万行代码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自动化测试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 xml:space="preserve">48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个测试文件、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797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个测试用例，全量通过作为回归基线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dataforge-server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六个业务模块（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system / devops / development / metadata / knowledge / quality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）、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20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个控制器、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28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张表，支持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MySQL / PostgreSQL / MariaDB / H2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，初始化预置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 1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个超级管理员角色</w:t>
            </w:r>
          </w:p>
        </w:tc>
      </w:tr>
    </w:tbl>
    <w:p>
      <w:pPr>
        <w:pStyle w:val="Heading3"/>
      </w:pPr>
      <w:r>
        <w:rPr>
          <w:rFonts w:ascii="微软雅黑" w:eastAsia="微软雅黑" w:hAnsi="微软雅黑" w:cs="微软雅黑" w:hint="eastAsia"/>
          <w:lang w:eastAsia="zh-CN"/>
        </w:rPr>
        <w:t>关键配置项索引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子系统</w:t>
            </w:r>
          </w:p>
        </w:tc>
        <w:tc>
          <w:tcPr>
            <w:tcW w:type="dxa" w:w="4320"/>
            <w:tcBorders>
              <w:top w:val="single" w:sz="6" w:space="0" w:color="1565C0"/>
              <w:bottom w:val="single" w:sz="6" w:space="0" w:color="1565C0"/>
              <w:left w:val="single" w:sz="6" w:space="0" w:color="1565C0"/>
              <w:right w:val="single" w:sz="6" w:space="0" w:color="1565C0"/>
            </w:tcBorders>
            <w:shd w:val="clear" w:color="auto" w:fill="1565C0"/>
            <w:vAlign w:val="center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rFonts w:ascii="微软雅黑" w:hAnsi="微软雅黑" w:eastAsia="微软雅黑" w:hint="eastAsia"/>
                <w:b/>
                <w:color w:val="FFFFFF"/>
                <w:sz w:val="16"/>
              </w:rPr>
              <w:t>配置内容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桌面端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后端服务地址、模型与密钥、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Java / Scala / Maven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环境路径、工作目录、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Git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仓库与密钥、工具权限模式、调度系统地址与令牌、血缘服务地址、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 xml:space="preserve">Maven </w:t>
            </w:r>
            <w:r>
              <w:rPr>
                <w:color w:val="212121"/>
                <w:sz w:val="16"/>
              </w:rPr>
              <w:t xml:space="preserve"> </w:t>
            </w:r>
            <w:r>
              <w:rPr>
                <w:color w:val="212121"/>
                <w:sz w:val="16"/>
              </w:rPr>
              <w:t>工程模板与坐标、最大轮次、沙箱开关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dataforge-server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15" w:after="15"/>
            </w:pPr>
            <w:r>
              <w:rPr>
                <w:color w:val="212121"/>
                <w:sz w:val="16"/>
              </w:rPr>
              <w:t>数据库连接、令牌密钥、接口文档路径、跨域配置</w:t>
            </w:r>
          </w:p>
        </w:tc>
      </w:tr>
    </w:tbl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编制单位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DataForge </w:t>
      </w:r>
      <w:r>
        <w:rPr>
          <w:rFonts w:ascii="微软雅黑" w:eastAsia="微软雅黑" w:hAnsi="微软雅黑" w:cs="微软雅黑" w:hint="eastAsia"/>
          <w:lang w:eastAsia="zh-CN"/>
        </w:rPr>
        <w:t>项目组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文档版本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>V1.0</w:t>
      </w:r>
    </w:p>
    <w:p>
      <w:pPr>
        <w:ind w:firstLine="360"/>
      </w:pPr>
      <w:r>
        <w:rPr>
          <w:rFonts w:ascii="微软雅黑" w:eastAsia="微软雅黑" w:hAnsi="微软雅黑" w:cs="微软雅黑" w:hint="eastAsia"/>
          <w:b/>
          <w:lang w:eastAsia="zh-CN"/>
        </w:rPr>
        <w:t>编制日期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2026 </w:t>
      </w:r>
      <w:r>
        <w:rPr>
          <w:rFonts w:ascii="微软雅黑" w:eastAsia="微软雅黑" w:hAnsi="微软雅黑" w:cs="微软雅黑" w:hint="eastAsia"/>
          <w:lang w:eastAsia="zh-CN"/>
        </w:rPr>
        <w:t>年</w:t>
      </w:r>
      <w:r>
        <w:t xml:space="preserve"> 9 </w:t>
      </w:r>
      <w:r>
        <w:rPr>
          <w:rFonts w:ascii="微软雅黑" w:eastAsia="微软雅黑" w:hAnsi="微软雅黑" w:cs="微软雅黑" w:hint="eastAsia"/>
          <w:lang w:eastAsia="zh-CN"/>
        </w:rPr>
        <w:t>月</w:t>
      </w:r>
    </w:p>
    <w:p>
      <w:pPr>
        <w:spacing w:before="400"/>
        <w:ind w:firstLine="0"/>
        <w:jc w:val="left"/>
        <w:pBdr>
          <w:top w:val="single" w:sz="6" w:space="4" w:color="E0E0E0"/>
        </w:pBdr>
      </w:pPr>
      <w:r>
        <w:rPr>
          <w:rFonts w:ascii="微软雅黑" w:eastAsia="微软雅黑" w:hAnsi="微软雅黑" w:cs="微软雅黑" w:hint="eastAsia"/>
          <w:color w:val="616161"/>
          <w:sz w:val="16"/>
          <w:lang w:eastAsia="zh-CN"/>
        </w:rPr>
        <w:t>编制单位：</w:t>
      </w:r>
      <w:r>
        <w:rPr>
          <w:color w:val="616161"/>
          <w:sz w:val="16"/>
        </w:rPr>
        <w:t xml:space="preserve">DataForge </w:t>
      </w:r>
      <w:r>
        <w:rPr>
          <w:rFonts w:ascii="微软雅黑" w:eastAsia="微软雅黑" w:hAnsi="微软雅黑" w:cs="微软雅黑" w:hint="eastAsia"/>
          <w:color w:val="616161"/>
          <w:sz w:val="16"/>
          <w:lang w:eastAsia="zh-CN"/>
        </w:rPr>
        <w:t xml:space="preserve">项目组　</w:t>
      </w:r>
      <w:r>
        <w:rPr>
          <w:color w:val="616161"/>
          <w:sz w:val="16"/>
        </w:rPr>
        <w:t>|</w:t>
      </w:r>
      <w:r>
        <w:rPr>
          <w:rFonts w:ascii="微软雅黑" w:eastAsia="微软雅黑" w:hAnsi="微软雅黑" w:cs="微软雅黑" w:hint="eastAsia"/>
          <w:color w:val="616161"/>
          <w:sz w:val="16"/>
          <w:lang w:eastAsia="zh-CN"/>
        </w:rPr>
        <w:t xml:space="preserve">　文档版本：</w:t>
      </w:r>
      <w:r>
        <w:rPr>
          <w:color w:val="616161"/>
          <w:sz w:val="16"/>
        </w:rPr>
        <w:t>V1.0</w:t>
      </w:r>
      <w:r>
        <w:rPr>
          <w:rFonts w:ascii="微软雅黑" w:eastAsia="微软雅黑" w:hAnsi="微软雅黑" w:cs="微软雅黑" w:hint="eastAsia"/>
          <w:color w:val="616161"/>
          <w:sz w:val="16"/>
          <w:lang w:eastAsia="zh-CN"/>
        </w:rPr>
        <w:t xml:space="preserve">　</w:t>
      </w:r>
      <w:r>
        <w:rPr>
          <w:color w:val="616161"/>
          <w:sz w:val="16"/>
        </w:rPr>
        <w:t>|</w:t>
      </w:r>
      <w:r>
        <w:rPr>
          <w:rFonts w:ascii="微软雅黑" w:eastAsia="微软雅黑" w:hAnsi="微软雅黑" w:cs="微软雅黑" w:hint="eastAsia"/>
          <w:color w:val="616161"/>
          <w:sz w:val="16"/>
          <w:lang w:eastAsia="zh-CN"/>
        </w:rPr>
        <w:t xml:space="preserve">　编制日期：</w:t>
      </w:r>
      <w:r>
        <w:rPr>
          <w:color w:val="616161"/>
          <w:sz w:val="16"/>
        </w:rPr>
        <w:t xml:space="preserve">2026 </w:t>
      </w:r>
      <w:r>
        <w:rPr>
          <w:rFonts w:ascii="微软雅黑" w:eastAsia="微软雅黑" w:hAnsi="微软雅黑" w:cs="微软雅黑" w:hint="eastAsia"/>
          <w:color w:val="616161"/>
          <w:sz w:val="16"/>
          <w:lang w:eastAsia="zh-CN"/>
        </w:rPr>
        <w:t>年</w:t>
      </w:r>
      <w:r>
        <w:rPr>
          <w:color w:val="616161"/>
          <w:sz w:val="16"/>
        </w:rPr>
        <w:t xml:space="preserve"> 9 </w:t>
      </w:r>
      <w:r>
        <w:rPr>
          <w:rFonts w:ascii="微软雅黑" w:eastAsia="微软雅黑" w:hAnsi="微软雅黑" w:cs="微软雅黑" w:hint="eastAsia"/>
          <w:color w:val="616161"/>
          <w:sz w:val="16"/>
          <w:lang w:eastAsia="zh-CN"/>
        </w:rPr>
        <w:t>月</w:t>
      </w:r>
      <w:r/>
      <w:r/>
      <w:r/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both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216" w:line="265" w:lineRule="auto"/>
      <w:jc w:val="left"/>
      <w:outlineLvl w:val="1"/>
    </w:pPr>
    <w:rPr>
      <w:rFonts w:ascii="微软雅黑" w:hAnsi="微软雅黑" w:eastAsia="微软雅黑"/>
      <w:b/>
      <w:bCs/>
      <w:color w:val="1A237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16" w:after="180" w:line="265" w:lineRule="auto"/>
      <w:jc w:val="left"/>
      <w:outlineLvl w:val="2"/>
    </w:pPr>
    <w:rPr>
      <w:rFonts w:ascii="微软雅黑" w:hAnsi="微软雅黑" w:eastAsia="微软雅黑"/>
      <w:b/>
      <w:bCs/>
      <w:color w:val="1565C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jc w:val="left"/>
      <w:outlineLvl w:val="3"/>
    </w:pPr>
    <w:rPr>
      <w:rFonts w:ascii="微软雅黑" w:hAnsi="微软雅黑" w:eastAsia="微软雅黑"/>
      <w:b/>
      <w:bCs/>
      <w:i/>
      <w:iCs/>
      <w:color w:val="212121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