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people+xml" PartName="/word/peop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FB9D8">
      <w:pPr>
        <w:tabs>
          <w:tab w:val="left" w:pos="8529"/>
        </w:tabs>
        <w:spacing w:before="253" w:line="277" w:lineRule="auto"/>
        <w:ind w:left="18" w:firstLine="904" w:firstLineChars="400"/>
        <w:jc w:val="both"/>
        <w:rPr>
          <w:rFonts w:ascii="华文细黑" w:hAnsi="华文细黑" w:eastAsia="华文细黑" w:cs="华文细黑"/>
          <w:color w:val="auto"/>
          <w:spacing w:val="-7"/>
          <w:sz w:val="24"/>
          <w:szCs w:val="24"/>
        </w:rPr>
      </w:pPr>
      <w:r>
        <w:rPr>
          <w:rFonts w:hint="eastAsia" w:ascii="华文细黑" w:hAnsi="华文细黑" w:eastAsia="华文细黑" w:cs="华文细黑"/>
          <w:color w:val="auto"/>
          <w:spacing w:val="-7"/>
          <w:sz w:val="24"/>
          <w:szCs w:val="24"/>
          <w:lang w:val="en-US" w:eastAsia="zh-CN"/>
        </w:rPr>
        <w:tab/>
      </w:r>
      <w:r>
        <w:rPr>
          <w:rFonts w:ascii="华文细黑" w:hAnsi="华文细黑" w:eastAsia="华文细黑" w:cs="华文细黑"/>
          <w:color w:val="auto"/>
          <w:spacing w:val="-7"/>
          <w:sz w:val="24"/>
          <w:szCs w:val="24"/>
        </w:rPr>
        <w:t>按照“</w:t>
      </w:r>
      <w:r>
        <w:rPr>
          <w:rFonts w:ascii="华文细黑" w:hAnsi="华文细黑" w:eastAsia="华文细黑" w:cs="华文细黑"/>
          <w:b/>
          <w:bCs/>
          <w:color w:val="auto"/>
          <w:spacing w:val="-7"/>
          <w:sz w:val="24"/>
          <w:szCs w:val="24"/>
        </w:rPr>
        <w:t>精准监测—复合诊断—综合施策</w:t>
      </w:r>
      <w:r>
        <w:rPr>
          <w:rFonts w:ascii="华文细黑" w:hAnsi="华文细黑" w:eastAsia="华文细黑" w:cs="华文细黑"/>
          <w:color w:val="auto"/>
          <w:spacing w:val="-7"/>
          <w:sz w:val="24"/>
          <w:szCs w:val="24"/>
        </w:rPr>
        <w:t>”的分析方法，对比“上海2035”中的97项监测指标（含40项约束性指标和57项预期性指标）的现状值与目标值，除部分未设定目标值的纯监测类指标和少量无法年度更新的指标，将70项有明确目标值的规划指标进行对标分析，并将以上指标归为以下三类。</w:t>
      </w:r>
    </w:p>
    <w:p w14:paraId="2D951EA6">
      <w:pPr>
        <w:spacing w:before="64" w:line="297" w:lineRule="auto"/>
        <w:ind w:left="89" w:right="229" w:firstLine="478"/>
        <w:rPr>
          <w:rFonts w:ascii="华文细黑" w:hAnsi="华文细黑" w:eastAsia="华文细黑" w:cs="华文细黑"/>
          <w:color w:val="auto"/>
          <w:sz w:val="24"/>
          <w:szCs w:val="24"/>
        </w:rPr>
      </w:pPr>
      <w:r>
        <w:rPr>
          <w:rFonts w:ascii="华文细黑" w:hAnsi="华文细黑" w:eastAsia="华文细黑" w:cs="华文细黑"/>
          <w:b/>
          <w:bCs/>
          <w:color w:val="auto"/>
          <w:spacing w:val="-4"/>
          <w:sz w:val="24"/>
          <w:szCs w:val="24"/>
        </w:rPr>
        <w:t>（1）</w:t>
      </w:r>
      <w:bookmarkStart w:id="0" w:name="bookmark01"/>
      <w:bookmarkEnd w:id="0"/>
      <w:r>
        <w:t>测试书签文本</w:t>
      </w:r>
      <w:r>
        <w:rPr>
          <w:rFonts w:ascii="华文细黑" w:hAnsi="华文细黑" w:eastAsia="华文细黑" w:cs="华文细黑"/>
          <w:color w:val="auto"/>
          <w:spacing w:val="-5"/>
          <w:sz w:val="24"/>
          <w:szCs w:val="24"/>
        </w:rPr>
        <w:t>，既</w:t>
      </w:r>
      <w:r>
        <w:rPr>
          <w:rFonts w:ascii="华文细黑" w:hAnsi="华文细黑" w:eastAsia="华文细黑" w:cs="华文细黑"/>
          <w:color w:val="auto"/>
          <w:spacing w:val="-8"/>
          <w:sz w:val="24"/>
          <w:szCs w:val="24"/>
        </w:rPr>
        <w:t>包括</w:t>
      </w:r>
      <w:commentRangeStart w:id="0"/>
      <w:r>
        <w:rPr>
          <w:rFonts w:ascii="华文细黑" w:hAnsi="华文细黑" w:eastAsia="华文细黑" w:cs="华文细黑"/>
          <w:color w:val="auto"/>
          <w:spacing w:val="-8"/>
          <w:sz w:val="24"/>
          <w:szCs w:val="24"/>
        </w:rPr>
        <w:t>2018</w:t>
      </w:r>
      <w:commentRangeEnd w:id="0"/>
      <w:r>
        <w:commentReference w:id="0"/>
      </w:r>
      <w:r>
        <w:rPr>
          <w:rFonts w:ascii="华文细黑" w:hAnsi="华文细黑" w:eastAsia="华文细黑" w:cs="华文细黑"/>
          <w:color w:val="auto"/>
          <w:spacing w:val="-8"/>
          <w:sz w:val="24"/>
          <w:szCs w:val="24"/>
        </w:rPr>
        <w:t>年现状值</w:t>
      </w:r>
      <w:r>
        <w:rPr>
          <w:rFonts w:ascii="华文细黑" w:hAnsi="华文细黑" w:eastAsia="华文细黑" w:cs="华文细黑"/>
          <w:color w:val="auto"/>
          <w:spacing w:val="-1"/>
          <w:sz w:val="24"/>
          <w:szCs w:val="24"/>
        </w:rPr>
        <w:t>符合目标发展导向、与上年度相比呈现明显</w:t>
      </w:r>
      <w:r>
        <w:rPr>
          <w:rFonts w:ascii="华文细黑" w:hAnsi="华文细黑" w:eastAsia="华文细黑" w:cs="华文细黑"/>
          <w:color w:val="auto"/>
          <w:spacing w:val="-2"/>
          <w:sz w:val="24"/>
          <w:szCs w:val="24"/>
        </w:rPr>
        <w:t>向好趋势的指标，</w:t>
      </w:r>
      <w:r>
        <w:rPr>
          <w:rFonts w:ascii="华文细黑" w:hAnsi="华文细黑" w:eastAsia="华文细黑" w:cs="华文细黑"/>
          <w:color w:val="auto"/>
          <w:sz w:val="24"/>
          <w:szCs w:val="24"/>
        </w:rPr>
        <w:t>这些指标如按目前推进力度，可实现规划目标，具体为以下</w:t>
      </w:r>
      <w:commentRangeStart w:id="1"/>
      <w:r>
        <w:rPr>
          <w:rFonts w:ascii="华文细黑" w:hAnsi="华文细黑" w:eastAsia="华文细黑" w:cs="华文细黑"/>
          <w:color w:val="auto"/>
          <w:sz w:val="24"/>
          <w:szCs w:val="24"/>
        </w:rPr>
        <w:t>39</w:t>
      </w:r>
      <w:commentRangeEnd w:id="1"/>
      <w:r>
        <w:commentReference w:id="1"/>
      </w:r>
      <w:r>
        <w:rPr>
          <w:rFonts w:ascii="华文细黑" w:hAnsi="华文细黑" w:eastAsia="华文细黑" w:cs="华文细黑"/>
          <w:color w:val="auto"/>
          <w:sz w:val="24"/>
          <w:szCs w:val="24"/>
        </w:rPr>
        <w:t>项。</w:t>
      </w:r>
    </w:p>
    <w:p w14:paraId="0D59141A">
      <w:pPr>
        <w:spacing w:before="133" w:line="183" w:lineRule="auto"/>
        <w:ind w:left="2739"/>
        <w:rPr>
          <w:rFonts w:ascii="Arial Unicode MS" w:hAnsi="Arial Unicode MS" w:eastAsia="Arial Unicode MS" w:cs="Arial Unicode MS"/>
          <w:color w:val="auto"/>
          <w:sz w:val="21"/>
          <w:szCs w:val="21"/>
        </w:rPr>
      </w:pPr>
      <w:commentRangeStart w:id="2"/>
      <w:r>
        <w:rPr>
          <w:rFonts w:ascii="Arial Unicode MS" w:hAnsi="Arial Unicode MS" w:eastAsia="Arial Unicode MS" w:cs="Arial Unicode MS"/>
          <w:b/>
          <w:bCs/>
          <w:color w:val="auto"/>
          <w:spacing w:val="-4"/>
          <w:sz w:val="21"/>
          <w:szCs w:val="21"/>
        </w:rPr>
        <w:t>表2-</w:t>
      </w:r>
      <w:r>
        <w:rPr>
          <w:rFonts w:hint="eastAsia" w:ascii="Arial Unicode MS" w:hAnsi="Arial Unicode MS" w:eastAsia="Arial Unicode MS" w:cs="Arial Unicode MS"/>
          <w:b/>
          <w:bCs/>
          <w:color w:val="auto"/>
          <w:spacing w:val="-4"/>
          <w:sz w:val="21"/>
          <w:szCs w:val="21"/>
          <w:lang w:val="en-US" w:eastAsia="zh-CN"/>
        </w:rPr>
        <w:t>1</w:t>
      </w:r>
      <w:r>
        <w:rPr>
          <w:rFonts w:ascii="Arial Unicode MS" w:hAnsi="Arial Unicode MS" w:eastAsia="Arial Unicode MS" w:cs="Arial Unicode MS"/>
          <w:b/>
          <w:bCs/>
          <w:color w:val="auto"/>
          <w:spacing w:val="-4"/>
          <w:sz w:val="21"/>
          <w:szCs w:val="21"/>
        </w:rPr>
        <w:t>：运行正常型指标一览表</w:t>
      </w:r>
      <w:commentRangeEnd w:id="2"/>
      <w:r>
        <w:commentReference w:id="2"/>
      </w:r>
    </w:p>
    <w:tbl>
      <w:tblPr>
        <w:tblStyle w:val="20"/>
        <w:tblW w:w="7364" w:type="dxa"/>
        <w:tblInd w:w="14" w:type="dxa"/>
        <w:tblBorders>
          <w:top w:val="single" w:color="4BACC6" w:sz="6" w:space="0"/>
          <w:left w:val="single" w:color="4BACC6" w:sz="6" w:space="0"/>
          <w:bottom w:val="single" w:color="4BACC6" w:sz="6" w:space="0"/>
          <w:right w:val="single" w:color="4BACC6" w:sz="6" w:space="0"/>
          <w:insideH w:val="single" w:color="4BACC6" w:sz="6" w:space="0"/>
          <w:insideV w:val="single" w:color="4BACC6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8"/>
        <w:gridCol w:w="1968"/>
        <w:gridCol w:w="932"/>
        <w:gridCol w:w="796"/>
        <w:gridCol w:w="865"/>
        <w:gridCol w:w="950"/>
        <w:gridCol w:w="1285"/>
      </w:tblGrid>
      <w:tr w14:paraId="46BD9279">
        <w:tblPrEx>
          <w:tblBorders>
            <w:top w:val="single" w:color="4BACC6" w:sz="6" w:space="0"/>
            <w:left w:val="single" w:color="4BACC6" w:sz="6" w:space="0"/>
            <w:bottom w:val="single" w:color="4BACC6" w:sz="6" w:space="0"/>
            <w:right w:val="single" w:color="4BACC6" w:sz="6" w:space="0"/>
            <w:insideH w:val="single" w:color="4BACC6" w:sz="6" w:space="0"/>
            <w:insideV w:val="single" w:color="4BACC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568" w:type="dxa"/>
            <w:tcBorders>
              <w:left w:val="nil"/>
            </w:tcBorders>
            <w:shd w:val="clear" w:color="auto" w:fill="B8CCE4"/>
            <w:vAlign w:val="top"/>
          </w:tcPr>
          <w:p w14:paraId="51CE60DA">
            <w:pPr>
              <w:pStyle w:val="19"/>
              <w:spacing w:before="92" w:line="182" w:lineRule="auto"/>
              <w:ind w:left="138"/>
              <w:rPr>
                <w:color w:val="auto"/>
              </w:rPr>
            </w:pPr>
            <w:r>
              <w:rPr>
                <w:b/>
                <w:bCs/>
                <w:color w:val="auto"/>
                <w:spacing w:val="-3"/>
              </w:rPr>
              <w:t>编号</w:t>
            </w:r>
          </w:p>
        </w:tc>
        <w:tc>
          <w:tcPr>
            <w:tcW w:w="1968" w:type="dxa"/>
            <w:shd w:val="clear" w:color="auto" w:fill="B8CCE4"/>
            <w:vAlign w:val="top"/>
          </w:tcPr>
          <w:p w14:paraId="7DCA842C">
            <w:pPr>
              <w:pStyle w:val="19"/>
              <w:spacing w:before="88" w:line="190" w:lineRule="auto"/>
              <w:ind w:left="663"/>
              <w:rPr>
                <w:color w:val="auto"/>
              </w:rPr>
            </w:pPr>
            <w:r>
              <w:rPr>
                <w:b/>
                <w:bCs/>
                <w:color w:val="auto"/>
                <w:spacing w:val="6"/>
              </w:rPr>
              <w:t>指标名称</w:t>
            </w:r>
          </w:p>
        </w:tc>
        <w:tc>
          <w:tcPr>
            <w:tcW w:w="932" w:type="dxa"/>
            <w:shd w:val="clear" w:color="auto" w:fill="B8CCE4"/>
            <w:vAlign w:val="top"/>
          </w:tcPr>
          <w:p w14:paraId="66CB842C">
            <w:pPr>
              <w:pStyle w:val="19"/>
              <w:spacing w:before="87" w:line="191" w:lineRule="auto"/>
              <w:ind w:left="305"/>
              <w:rPr>
                <w:color w:val="auto"/>
              </w:rPr>
            </w:pPr>
            <w:r>
              <w:rPr>
                <w:b/>
                <w:bCs/>
                <w:color w:val="auto"/>
                <w:spacing w:val="4"/>
              </w:rPr>
              <w:t>单位</w:t>
            </w:r>
          </w:p>
        </w:tc>
        <w:tc>
          <w:tcPr>
            <w:tcW w:w="796" w:type="dxa"/>
            <w:shd w:val="clear" w:color="auto" w:fill="B8CCE4"/>
            <w:vAlign w:val="top"/>
          </w:tcPr>
          <w:p w14:paraId="36A5590A">
            <w:pPr>
              <w:pStyle w:val="19"/>
              <w:spacing w:before="87" w:line="191" w:lineRule="auto"/>
              <w:ind w:left="116"/>
              <w:rPr>
                <w:color w:val="auto"/>
              </w:rPr>
            </w:pPr>
            <w:r>
              <w:rPr>
                <w:b/>
                <w:bCs/>
                <w:color w:val="auto"/>
                <w:spacing w:val="1"/>
              </w:rPr>
              <w:t>2016年</w:t>
            </w:r>
          </w:p>
        </w:tc>
        <w:tc>
          <w:tcPr>
            <w:tcW w:w="865" w:type="dxa"/>
            <w:shd w:val="clear" w:color="auto" w:fill="B8CCE4"/>
            <w:vAlign w:val="top"/>
          </w:tcPr>
          <w:p w14:paraId="3AC0A6AD">
            <w:pPr>
              <w:pStyle w:val="19"/>
              <w:spacing w:before="87" w:line="191" w:lineRule="auto"/>
              <w:ind w:left="150"/>
              <w:rPr>
                <w:color w:val="auto"/>
              </w:rPr>
            </w:pPr>
            <w:r>
              <w:rPr>
                <w:b/>
                <w:bCs/>
                <w:color w:val="auto"/>
                <w:spacing w:val="1"/>
              </w:rPr>
              <w:t>2017年</w:t>
            </w:r>
          </w:p>
        </w:tc>
        <w:tc>
          <w:tcPr>
            <w:tcW w:w="950" w:type="dxa"/>
            <w:shd w:val="clear" w:color="auto" w:fill="B8CCE4"/>
            <w:vAlign w:val="top"/>
          </w:tcPr>
          <w:p w14:paraId="680618BD">
            <w:pPr>
              <w:pStyle w:val="19"/>
              <w:spacing w:before="87" w:line="191" w:lineRule="auto"/>
              <w:ind w:left="194"/>
              <w:rPr>
                <w:color w:val="auto"/>
              </w:rPr>
            </w:pPr>
            <w:r>
              <w:rPr>
                <w:b/>
                <w:bCs/>
                <w:color w:val="auto"/>
                <w:spacing w:val="1"/>
              </w:rPr>
              <w:t>2018年</w:t>
            </w:r>
          </w:p>
        </w:tc>
        <w:tc>
          <w:tcPr>
            <w:tcW w:w="1285" w:type="dxa"/>
            <w:tcBorders>
              <w:right w:val="nil"/>
            </w:tcBorders>
            <w:shd w:val="clear" w:color="auto" w:fill="B8CCE4"/>
            <w:vAlign w:val="top"/>
          </w:tcPr>
          <w:p w14:paraId="5536B21E">
            <w:pPr>
              <w:pStyle w:val="19"/>
              <w:spacing w:before="87" w:line="191" w:lineRule="auto"/>
              <w:ind w:left="203" w:leftChars="0"/>
              <w:rPr>
                <w:rFonts w:ascii="Arial Unicode MS" w:hAnsi="Arial Unicode MS" w:eastAsia="Arial Unicode MS" w:cs="Arial Unicode MS"/>
                <w:snapToGrid w:val="0"/>
                <w:color w:val="auto"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b/>
                <w:bCs/>
                <w:color w:val="auto"/>
                <w:spacing w:val="3"/>
              </w:rPr>
              <w:t>2035年目标</w:t>
            </w:r>
          </w:p>
        </w:tc>
      </w:tr>
      <w:tr w14:paraId="3C518E3D">
        <w:tblPrEx>
          <w:tblBorders>
            <w:top w:val="single" w:color="4BACC6" w:sz="6" w:space="0"/>
            <w:left w:val="single" w:color="4BACC6" w:sz="6" w:space="0"/>
            <w:bottom w:val="single" w:color="4BACC6" w:sz="6" w:space="0"/>
            <w:right w:val="single" w:color="4BACC6" w:sz="6" w:space="0"/>
            <w:insideH w:val="single" w:color="4BACC6" w:sz="6" w:space="0"/>
            <w:insideV w:val="single" w:color="4BACC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568" w:type="dxa"/>
            <w:tcBorders>
              <w:left w:val="nil"/>
            </w:tcBorders>
            <w:vAlign w:val="top"/>
          </w:tcPr>
          <w:p w14:paraId="445FE40A">
            <w:pPr>
              <w:pStyle w:val="19"/>
              <w:spacing w:before="82" w:line="172" w:lineRule="auto"/>
              <w:ind w:left="256"/>
              <w:rPr>
                <w:color w:val="auto"/>
              </w:rPr>
            </w:pPr>
            <w:r>
              <w:rPr>
                <w:b/>
                <w:bCs/>
                <w:color w:val="auto"/>
                <w:spacing w:val="-2"/>
              </w:rPr>
              <w:t>1</w:t>
            </w:r>
          </w:p>
        </w:tc>
        <w:tc>
          <w:tcPr>
            <w:tcW w:w="1968" w:type="dxa"/>
            <w:vAlign w:val="top"/>
          </w:tcPr>
          <w:p w14:paraId="4B6B22A2">
            <w:pPr>
              <w:pStyle w:val="19"/>
              <w:spacing w:before="63" w:line="190" w:lineRule="auto"/>
              <w:ind w:left="479"/>
              <w:rPr>
                <w:color w:val="auto"/>
              </w:rPr>
            </w:pPr>
            <w:r>
              <w:rPr>
                <w:color w:val="auto"/>
                <w:spacing w:val="6"/>
              </w:rPr>
              <w:t>常住人口规模*</w:t>
            </w:r>
          </w:p>
        </w:tc>
        <w:tc>
          <w:tcPr>
            <w:tcW w:w="932" w:type="dxa"/>
            <w:vAlign w:val="top"/>
          </w:tcPr>
          <w:p w14:paraId="240AB408">
            <w:pPr>
              <w:pStyle w:val="19"/>
              <w:spacing w:before="69" w:line="185" w:lineRule="auto"/>
              <w:ind w:left="307"/>
              <w:rPr>
                <w:color w:val="auto"/>
              </w:rPr>
            </w:pPr>
            <w:r>
              <w:rPr>
                <w:color w:val="auto"/>
                <w:spacing w:val="4"/>
              </w:rPr>
              <w:t>万人</w:t>
            </w:r>
          </w:p>
        </w:tc>
        <w:tc>
          <w:tcPr>
            <w:tcW w:w="796" w:type="dxa"/>
            <w:vAlign w:val="top"/>
          </w:tcPr>
          <w:p w14:paraId="743EDB2B">
            <w:pPr>
              <w:pStyle w:val="19"/>
              <w:spacing w:before="82" w:line="172" w:lineRule="auto"/>
              <w:ind w:left="150"/>
              <w:rPr>
                <w:color w:val="auto"/>
              </w:rPr>
            </w:pPr>
            <w:r>
              <w:rPr>
                <w:color w:val="auto"/>
                <w:spacing w:val="4"/>
              </w:rPr>
              <w:t>2419.7</w:t>
            </w:r>
          </w:p>
        </w:tc>
        <w:tc>
          <w:tcPr>
            <w:tcW w:w="865" w:type="dxa"/>
            <w:vAlign w:val="top"/>
          </w:tcPr>
          <w:p w14:paraId="7443F31F">
            <w:pPr>
              <w:pStyle w:val="19"/>
              <w:spacing w:before="82" w:line="172" w:lineRule="auto"/>
              <w:ind w:left="139"/>
              <w:rPr>
                <w:color w:val="auto"/>
              </w:rPr>
            </w:pPr>
            <w:r>
              <w:rPr>
                <w:color w:val="auto"/>
                <w:spacing w:val="4"/>
              </w:rPr>
              <w:t>2418.33</w:t>
            </w:r>
          </w:p>
        </w:tc>
        <w:tc>
          <w:tcPr>
            <w:tcW w:w="950" w:type="dxa"/>
            <w:vAlign w:val="top"/>
          </w:tcPr>
          <w:p w14:paraId="5DEA2214">
            <w:pPr>
              <w:pStyle w:val="19"/>
              <w:spacing w:before="82" w:line="172" w:lineRule="auto"/>
              <w:ind w:left="183"/>
              <w:rPr>
                <w:color w:val="auto"/>
              </w:rPr>
            </w:pPr>
            <w:r>
              <w:rPr>
                <w:color w:val="auto"/>
                <w:spacing w:val="4"/>
              </w:rPr>
              <w:t>2423.78</w:t>
            </w:r>
          </w:p>
        </w:tc>
        <w:tc>
          <w:tcPr>
            <w:tcW w:w="1285" w:type="dxa"/>
            <w:tcBorders>
              <w:right w:val="nil"/>
            </w:tcBorders>
            <w:shd w:val="clear" w:color="auto" w:fill="auto"/>
            <w:vAlign w:val="top"/>
          </w:tcPr>
          <w:p w14:paraId="6D0F740F">
            <w:pPr>
              <w:pStyle w:val="19"/>
              <w:spacing w:before="63" w:line="190" w:lineRule="auto"/>
              <w:ind w:left="281" w:leftChars="0"/>
              <w:rPr>
                <w:rFonts w:ascii="Arial Unicode MS" w:hAnsi="Arial Unicode MS" w:eastAsia="Arial Unicode MS" w:cs="Arial Unicode MS"/>
                <w:snapToGrid w:val="0"/>
                <w:color w:val="auto"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color w:val="auto"/>
                <w:spacing w:val="4"/>
              </w:rPr>
              <w:t>2500左右</w:t>
            </w:r>
          </w:p>
        </w:tc>
      </w:tr>
      <w:tr w14:paraId="056C7853">
        <w:tblPrEx>
          <w:tblBorders>
            <w:top w:val="single" w:color="4BACC6" w:sz="6" w:space="0"/>
            <w:left w:val="single" w:color="4BACC6" w:sz="6" w:space="0"/>
            <w:bottom w:val="single" w:color="4BACC6" w:sz="6" w:space="0"/>
            <w:right w:val="single" w:color="4BACC6" w:sz="6" w:space="0"/>
            <w:insideH w:val="single" w:color="4BACC6" w:sz="6" w:space="0"/>
            <w:insideV w:val="single" w:color="4BACC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568" w:type="dxa"/>
            <w:tcBorders>
              <w:left w:val="nil"/>
            </w:tcBorders>
            <w:vAlign w:val="top"/>
          </w:tcPr>
          <w:p w14:paraId="182291DE">
            <w:pPr>
              <w:pStyle w:val="19"/>
              <w:spacing w:before="85" w:line="170" w:lineRule="auto"/>
              <w:ind w:left="245"/>
              <w:rPr>
                <w:color w:val="auto"/>
              </w:rPr>
            </w:pPr>
            <w:r>
              <w:rPr>
                <w:b/>
                <w:bCs/>
                <w:color w:val="auto"/>
                <w:spacing w:val="-2"/>
              </w:rPr>
              <w:t>5</w:t>
            </w:r>
          </w:p>
        </w:tc>
        <w:tc>
          <w:tcPr>
            <w:tcW w:w="1968" w:type="dxa"/>
            <w:vAlign w:val="top"/>
          </w:tcPr>
          <w:p w14:paraId="7B661345">
            <w:pPr>
              <w:pStyle w:val="19"/>
              <w:spacing w:before="65" w:line="189" w:lineRule="auto"/>
              <w:ind w:left="421"/>
              <w:rPr>
                <w:color w:val="auto"/>
              </w:rPr>
            </w:pPr>
            <w:r>
              <w:rPr>
                <w:color w:val="auto"/>
                <w:spacing w:val="9"/>
              </w:rPr>
              <w:t>建设用地总规模</w:t>
            </w:r>
          </w:p>
        </w:tc>
        <w:tc>
          <w:tcPr>
            <w:tcW w:w="932" w:type="dxa"/>
            <w:vAlign w:val="top"/>
          </w:tcPr>
          <w:p w14:paraId="0E26883E">
            <w:pPr>
              <w:pStyle w:val="19"/>
              <w:spacing w:before="66" w:line="188" w:lineRule="auto"/>
              <w:ind w:left="148"/>
              <w:rPr>
                <w:color w:val="auto"/>
              </w:rPr>
            </w:pPr>
            <w:r>
              <w:rPr>
                <w:color w:val="auto"/>
                <w:spacing w:val="6"/>
              </w:rPr>
              <w:t>平方公里</w:t>
            </w:r>
          </w:p>
        </w:tc>
        <w:tc>
          <w:tcPr>
            <w:tcW w:w="796" w:type="dxa"/>
            <w:vAlign w:val="top"/>
          </w:tcPr>
          <w:p w14:paraId="4538F187">
            <w:pPr>
              <w:pStyle w:val="19"/>
              <w:spacing w:before="83" w:line="172" w:lineRule="auto"/>
              <w:ind w:left="219"/>
              <w:rPr>
                <w:color w:val="auto"/>
              </w:rPr>
            </w:pPr>
            <w:r>
              <w:rPr>
                <w:color w:val="auto"/>
                <w:spacing w:val="3"/>
              </w:rPr>
              <w:t>3160</w:t>
            </w:r>
          </w:p>
        </w:tc>
        <w:tc>
          <w:tcPr>
            <w:tcW w:w="865" w:type="dxa"/>
            <w:vAlign w:val="top"/>
          </w:tcPr>
          <w:p w14:paraId="3206A612">
            <w:pPr>
              <w:pStyle w:val="19"/>
              <w:spacing w:before="83" w:line="172" w:lineRule="auto"/>
              <w:ind w:left="253"/>
              <w:rPr>
                <w:color w:val="auto"/>
              </w:rPr>
            </w:pPr>
            <w:r>
              <w:rPr>
                <w:color w:val="auto"/>
                <w:spacing w:val="3"/>
              </w:rPr>
              <w:t>3159</w:t>
            </w:r>
          </w:p>
        </w:tc>
        <w:tc>
          <w:tcPr>
            <w:tcW w:w="950" w:type="dxa"/>
            <w:vAlign w:val="top"/>
          </w:tcPr>
          <w:p w14:paraId="3063C21E">
            <w:pPr>
              <w:pStyle w:val="19"/>
              <w:spacing w:before="83" w:line="172" w:lineRule="auto"/>
              <w:ind w:left="295"/>
              <w:rPr>
                <w:color w:val="auto"/>
              </w:rPr>
            </w:pPr>
            <w:bookmarkStart w:id="1" w:name="bookmark02"/>
            <w:bookmarkEnd w:id="1"/>
            <w:r/>
          </w:p>
        </w:tc>
        <w:tc>
          <w:tcPr>
            <w:tcW w:w="1285" w:type="dxa"/>
            <w:tcBorders>
              <w:right w:val="nil"/>
            </w:tcBorders>
            <w:shd w:val="clear" w:color="auto" w:fill="auto"/>
            <w:vAlign w:val="top"/>
          </w:tcPr>
          <w:p w14:paraId="062B0AF2">
            <w:pPr>
              <w:pStyle w:val="19"/>
              <w:spacing w:before="83" w:line="172" w:lineRule="auto"/>
              <w:ind w:left="463" w:leftChars="0"/>
              <w:rPr>
                <w:rFonts w:ascii="Arial Unicode MS" w:hAnsi="Arial Unicode MS" w:eastAsia="Arial Unicode MS" w:cs="Arial Unicode MS"/>
                <w:snapToGrid w:val="0"/>
                <w:color w:val="auto"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color w:val="auto"/>
                <w:spacing w:val="3"/>
              </w:rPr>
              <w:t>3200</w:t>
            </w:r>
          </w:p>
        </w:tc>
      </w:tr>
      <w:tr w14:paraId="6A2440D9">
        <w:tblPrEx>
          <w:tblBorders>
            <w:top w:val="single" w:color="4BACC6" w:sz="6" w:space="0"/>
            <w:left w:val="single" w:color="4BACC6" w:sz="6" w:space="0"/>
            <w:bottom w:val="single" w:color="4BACC6" w:sz="6" w:space="0"/>
            <w:right w:val="single" w:color="4BACC6" w:sz="6" w:space="0"/>
            <w:insideH w:val="single" w:color="4BACC6" w:sz="6" w:space="0"/>
            <w:insideV w:val="single" w:color="4BACC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568" w:type="dxa"/>
            <w:tcBorders>
              <w:left w:val="nil"/>
            </w:tcBorders>
            <w:vAlign w:val="top"/>
          </w:tcPr>
          <w:p w14:paraId="4B1EABC5">
            <w:pPr>
              <w:pStyle w:val="19"/>
              <w:spacing w:before="84" w:line="172" w:lineRule="auto"/>
              <w:ind w:left="245"/>
              <w:rPr>
                <w:color w:val="auto"/>
              </w:rPr>
            </w:pPr>
            <w:r>
              <w:rPr>
                <w:b/>
                <w:bCs/>
                <w:color w:val="auto"/>
                <w:spacing w:val="-2"/>
              </w:rPr>
              <w:t>6</w:t>
            </w:r>
          </w:p>
        </w:tc>
        <w:tc>
          <w:tcPr>
            <w:tcW w:w="1968" w:type="dxa"/>
            <w:vAlign w:val="top"/>
          </w:tcPr>
          <w:p w14:paraId="4DB1C758">
            <w:pPr>
              <w:pStyle w:val="19"/>
              <w:spacing w:before="65" w:line="190" w:lineRule="auto"/>
              <w:ind w:left="343"/>
              <w:rPr>
                <w:color w:val="auto"/>
              </w:rPr>
            </w:pPr>
            <w:r>
              <w:rPr>
                <w:color w:val="auto"/>
                <w:spacing w:val="9"/>
              </w:rPr>
              <w:t>城镇建设用地规模</w:t>
            </w:r>
          </w:p>
        </w:tc>
        <w:tc>
          <w:tcPr>
            <w:tcW w:w="932" w:type="dxa"/>
            <w:vAlign w:val="top"/>
          </w:tcPr>
          <w:p w14:paraId="5A0A318D">
            <w:pPr>
              <w:pStyle w:val="19"/>
              <w:spacing w:before="67" w:line="188" w:lineRule="auto"/>
              <w:ind w:left="148"/>
              <w:rPr>
                <w:color w:val="auto"/>
              </w:rPr>
            </w:pPr>
            <w:r>
              <w:rPr>
                <w:color w:val="auto"/>
                <w:spacing w:val="6"/>
              </w:rPr>
              <w:t>平方公里</w:t>
            </w:r>
          </w:p>
        </w:tc>
        <w:tc>
          <w:tcPr>
            <w:tcW w:w="796" w:type="dxa"/>
            <w:vAlign w:val="top"/>
          </w:tcPr>
          <w:p w14:paraId="0EEED23D">
            <w:pPr>
              <w:pStyle w:val="19"/>
              <w:spacing w:before="84" w:line="172" w:lineRule="auto"/>
              <w:ind w:left="150"/>
              <w:rPr>
                <w:color w:val="auto"/>
              </w:rPr>
            </w:pPr>
            <w:r>
              <w:rPr>
                <w:color w:val="auto"/>
                <w:spacing w:val="4"/>
              </w:rPr>
              <w:t>2665.7</w:t>
            </w:r>
          </w:p>
        </w:tc>
        <w:tc>
          <w:tcPr>
            <w:tcW w:w="865" w:type="dxa"/>
            <w:vAlign w:val="top"/>
          </w:tcPr>
          <w:p w14:paraId="3E8CDAAE">
            <w:pPr>
              <w:pStyle w:val="19"/>
              <w:spacing w:before="84" w:line="172" w:lineRule="auto"/>
              <w:ind w:left="251"/>
              <w:rPr>
                <w:color w:val="auto"/>
              </w:rPr>
            </w:pPr>
            <w:r>
              <w:rPr>
                <w:color w:val="auto"/>
                <w:spacing w:val="4"/>
              </w:rPr>
              <w:t>2671</w:t>
            </w:r>
          </w:p>
        </w:tc>
        <w:tc>
          <w:tcPr>
            <w:tcW w:w="950" w:type="dxa"/>
            <w:vAlign w:val="top"/>
          </w:tcPr>
          <w:p w14:paraId="0BBC7638">
            <w:pPr>
              <w:pStyle w:val="19"/>
              <w:spacing w:before="84" w:line="172" w:lineRule="auto"/>
              <w:ind w:left="227"/>
              <w:rPr>
                <w:color w:val="auto"/>
              </w:rPr>
            </w:pPr>
            <w:r>
              <w:rPr>
                <w:color w:val="auto"/>
                <w:spacing w:val="4"/>
              </w:rPr>
              <w:t>2754.7</w:t>
            </w:r>
          </w:p>
        </w:tc>
        <w:tc>
          <w:tcPr>
            <w:tcW w:w="1285" w:type="dxa"/>
            <w:tcBorders>
              <w:right w:val="nil"/>
            </w:tcBorders>
            <w:shd w:val="clear" w:color="auto" w:fill="auto"/>
            <w:vAlign w:val="top"/>
          </w:tcPr>
          <w:p w14:paraId="02BD6686">
            <w:pPr>
              <w:pStyle w:val="19"/>
              <w:spacing w:before="84" w:line="172" w:lineRule="auto"/>
              <w:ind w:left="463" w:leftChars="0"/>
              <w:rPr>
                <w:rFonts w:ascii="Arial Unicode MS" w:hAnsi="Arial Unicode MS" w:eastAsia="Arial Unicode MS" w:cs="Arial Unicode MS"/>
                <w:snapToGrid w:val="0"/>
                <w:color w:val="auto"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color w:val="auto"/>
                <w:spacing w:val="3"/>
              </w:rPr>
              <w:t>3010</w:t>
            </w:r>
          </w:p>
        </w:tc>
      </w:tr>
      <w:tr w14:paraId="1AA585C4">
        <w:tblPrEx>
          <w:tblBorders>
            <w:top w:val="single" w:color="4BACC6" w:sz="6" w:space="0"/>
            <w:left w:val="single" w:color="4BACC6" w:sz="6" w:space="0"/>
            <w:bottom w:val="single" w:color="4BACC6" w:sz="6" w:space="0"/>
            <w:right w:val="single" w:color="4BACC6" w:sz="6" w:space="0"/>
            <w:insideH w:val="single" w:color="4BACC6" w:sz="6" w:space="0"/>
            <w:insideV w:val="single" w:color="4BACC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568" w:type="dxa"/>
            <w:tcBorders>
              <w:left w:val="nil"/>
            </w:tcBorders>
            <w:vAlign w:val="top"/>
          </w:tcPr>
          <w:p w14:paraId="7CF4D879">
            <w:pPr>
              <w:pStyle w:val="19"/>
              <w:spacing w:before="225" w:line="170" w:lineRule="auto"/>
              <w:ind w:left="246"/>
              <w:rPr>
                <w:color w:val="auto"/>
              </w:rPr>
            </w:pPr>
            <w:r>
              <w:rPr>
                <w:b/>
                <w:bCs/>
                <w:color w:val="auto"/>
                <w:spacing w:val="-2"/>
              </w:rPr>
              <w:t>7</w:t>
            </w:r>
          </w:p>
        </w:tc>
        <w:tc>
          <w:tcPr>
            <w:tcW w:w="1968" w:type="dxa"/>
            <w:vAlign w:val="top"/>
          </w:tcPr>
          <w:p w14:paraId="67AAC300">
            <w:pPr>
              <w:pStyle w:val="19"/>
              <w:spacing w:before="63" w:line="224" w:lineRule="auto"/>
              <w:ind w:left="310" w:right="111" w:hanging="192"/>
              <w:rPr>
                <w:color w:val="auto"/>
              </w:rPr>
            </w:pPr>
            <w:r>
              <w:rPr>
                <w:color w:val="auto"/>
                <w:spacing w:val="9"/>
              </w:rPr>
              <w:t>单位地区生产总值(</w:t>
            </w:r>
            <w:r>
              <w:rPr>
                <w:color w:val="auto"/>
              </w:rPr>
              <w:t>GDP</w:t>
            </w:r>
            <w:r>
              <w:rPr>
                <w:color w:val="auto"/>
                <w:spacing w:val="9"/>
              </w:rPr>
              <w:t>)</w:t>
            </w:r>
            <w:r>
              <w:rPr>
                <w:color w:val="auto"/>
                <w:spacing w:val="8"/>
              </w:rPr>
              <w:t>建设用地用地面积*</w:t>
            </w:r>
          </w:p>
        </w:tc>
        <w:tc>
          <w:tcPr>
            <w:tcW w:w="932" w:type="dxa"/>
            <w:vAlign w:val="top"/>
          </w:tcPr>
          <w:p w14:paraId="2E8CFF16">
            <w:pPr>
              <w:pStyle w:val="19"/>
              <w:spacing w:before="205" w:line="189" w:lineRule="auto"/>
              <w:ind w:left="123"/>
              <w:rPr>
                <w:color w:val="auto"/>
              </w:rPr>
            </w:pPr>
            <w:r>
              <w:rPr>
                <w:color w:val="auto"/>
                <w:spacing w:val="6"/>
              </w:rPr>
              <w:t>公顷/亿元</w:t>
            </w:r>
          </w:p>
        </w:tc>
        <w:tc>
          <w:tcPr>
            <w:tcW w:w="796" w:type="dxa"/>
            <w:vAlign w:val="top"/>
          </w:tcPr>
          <w:p w14:paraId="6D746ED2">
            <w:pPr>
              <w:pStyle w:val="19"/>
              <w:spacing w:before="223" w:line="172" w:lineRule="auto"/>
              <w:ind w:left="252"/>
              <w:rPr>
                <w:color w:val="auto"/>
              </w:rPr>
            </w:pPr>
            <w:r>
              <w:rPr>
                <w:color w:val="auto"/>
              </w:rPr>
              <w:t>11.2</w:t>
            </w:r>
          </w:p>
        </w:tc>
        <w:tc>
          <w:tcPr>
            <w:tcW w:w="865" w:type="dxa"/>
            <w:vAlign w:val="top"/>
          </w:tcPr>
          <w:p w14:paraId="1E3E0430">
            <w:pPr>
              <w:pStyle w:val="19"/>
              <w:spacing w:before="223" w:line="172" w:lineRule="auto"/>
              <w:ind w:left="287"/>
              <w:rPr>
                <w:color w:val="auto"/>
              </w:rPr>
            </w:pPr>
            <w:r>
              <w:rPr>
                <w:color w:val="auto"/>
              </w:rPr>
              <w:t>10.3</w:t>
            </w:r>
          </w:p>
        </w:tc>
        <w:tc>
          <w:tcPr>
            <w:tcW w:w="950" w:type="dxa"/>
            <w:vAlign w:val="top"/>
          </w:tcPr>
          <w:p w14:paraId="04B5D7E0">
            <w:pPr>
              <w:pStyle w:val="19"/>
              <w:spacing w:before="223" w:line="172" w:lineRule="auto"/>
              <w:ind w:left="318"/>
              <w:rPr>
                <w:color w:val="auto"/>
              </w:rPr>
            </w:pPr>
            <w:r>
              <w:rPr>
                <w:color w:val="auto"/>
                <w:spacing w:val="2"/>
              </w:rPr>
              <w:t>9.66</w:t>
            </w:r>
          </w:p>
        </w:tc>
        <w:tc>
          <w:tcPr>
            <w:tcW w:w="1285" w:type="dxa"/>
            <w:tcBorders>
              <w:right w:val="nil"/>
            </w:tcBorders>
            <w:shd w:val="clear" w:color="auto" w:fill="auto"/>
            <w:vAlign w:val="top"/>
          </w:tcPr>
          <w:p w14:paraId="1959FC6D">
            <w:pPr>
              <w:pStyle w:val="19"/>
              <w:spacing w:before="223" w:line="172" w:lineRule="auto"/>
              <w:ind w:left="486" w:leftChars="0"/>
              <w:rPr>
                <w:rFonts w:ascii="Arial Unicode MS" w:hAnsi="Arial Unicode MS" w:eastAsia="Arial Unicode MS" w:cs="Arial Unicode MS"/>
                <w:snapToGrid w:val="0"/>
                <w:color w:val="auto"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color w:val="auto"/>
                <w:spacing w:val="2"/>
              </w:rPr>
              <w:t>≤4.2</w:t>
            </w:r>
          </w:p>
        </w:tc>
      </w:tr>
      <w:tr w14:paraId="4DB225EF">
        <w:tblPrEx>
          <w:tblBorders>
            <w:top w:val="single" w:color="4BACC6" w:sz="6" w:space="0"/>
            <w:left w:val="single" w:color="4BACC6" w:sz="6" w:space="0"/>
            <w:bottom w:val="single" w:color="4BACC6" w:sz="6" w:space="0"/>
            <w:right w:val="single" w:color="4BACC6" w:sz="6" w:space="0"/>
            <w:insideH w:val="single" w:color="4BACC6" w:sz="6" w:space="0"/>
            <w:insideV w:val="single" w:color="4BACC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568" w:type="dxa"/>
            <w:tcBorders>
              <w:left w:val="nil"/>
            </w:tcBorders>
            <w:vAlign w:val="top"/>
          </w:tcPr>
          <w:p w14:paraId="2A10FCCB">
            <w:pPr>
              <w:pStyle w:val="19"/>
              <w:spacing w:before="85" w:line="172" w:lineRule="auto"/>
              <w:ind w:left="245"/>
              <w:rPr>
                <w:color w:val="auto"/>
              </w:rPr>
            </w:pPr>
            <w:r>
              <w:rPr>
                <w:b/>
                <w:bCs/>
                <w:color w:val="auto"/>
                <w:spacing w:val="-2"/>
              </w:rPr>
              <w:t>8</w:t>
            </w:r>
          </w:p>
        </w:tc>
        <w:tc>
          <w:tcPr>
            <w:tcW w:w="1968" w:type="dxa"/>
            <w:vAlign w:val="top"/>
          </w:tcPr>
          <w:p w14:paraId="17588492">
            <w:pPr>
              <w:pStyle w:val="19"/>
              <w:spacing w:before="66" w:line="190" w:lineRule="auto"/>
              <w:ind w:left="352"/>
              <w:rPr>
                <w:color w:val="auto"/>
              </w:rPr>
            </w:pPr>
            <w:r>
              <w:rPr>
                <w:color w:val="auto"/>
                <w:spacing w:val="7"/>
              </w:rPr>
              <w:t>战略留白空间规模</w:t>
            </w:r>
          </w:p>
        </w:tc>
        <w:tc>
          <w:tcPr>
            <w:tcW w:w="932" w:type="dxa"/>
            <w:vAlign w:val="top"/>
          </w:tcPr>
          <w:p w14:paraId="3FAFD5FC">
            <w:pPr>
              <w:pStyle w:val="19"/>
              <w:spacing w:before="69" w:line="187" w:lineRule="auto"/>
              <w:ind w:left="148"/>
              <w:rPr>
                <w:color w:val="auto"/>
              </w:rPr>
            </w:pPr>
            <w:r>
              <w:rPr>
                <w:color w:val="auto"/>
                <w:spacing w:val="6"/>
              </w:rPr>
              <w:t>平方公里</w:t>
            </w:r>
          </w:p>
        </w:tc>
        <w:tc>
          <w:tcPr>
            <w:tcW w:w="796" w:type="dxa"/>
            <w:vAlign w:val="top"/>
          </w:tcPr>
          <w:p w14:paraId="0BFFFD5C">
            <w:pPr>
              <w:pStyle w:val="19"/>
              <w:spacing w:before="85" w:line="172" w:lineRule="auto"/>
              <w:ind w:left="261"/>
              <w:rPr>
                <w:color w:val="auto"/>
              </w:rPr>
            </w:pPr>
            <w:r>
              <w:rPr>
                <w:color w:val="auto"/>
                <w:spacing w:val="3"/>
              </w:rPr>
              <w:t>200</w:t>
            </w:r>
          </w:p>
        </w:tc>
        <w:tc>
          <w:tcPr>
            <w:tcW w:w="865" w:type="dxa"/>
            <w:vAlign w:val="top"/>
          </w:tcPr>
          <w:p w14:paraId="2C583064">
            <w:pPr>
              <w:pStyle w:val="19"/>
              <w:spacing w:before="85" w:line="172" w:lineRule="auto"/>
              <w:ind w:left="295"/>
              <w:rPr>
                <w:color w:val="auto"/>
              </w:rPr>
            </w:pPr>
            <w:r>
              <w:rPr>
                <w:color w:val="auto"/>
                <w:spacing w:val="3"/>
              </w:rPr>
              <w:t>200</w:t>
            </w:r>
          </w:p>
        </w:tc>
        <w:tc>
          <w:tcPr>
            <w:tcW w:w="950" w:type="dxa"/>
            <w:vAlign w:val="top"/>
          </w:tcPr>
          <w:p w14:paraId="3FD0D6FA">
            <w:pPr>
              <w:pStyle w:val="19"/>
              <w:spacing w:before="85" w:line="172" w:lineRule="auto"/>
              <w:ind w:left="339"/>
              <w:rPr>
                <w:color w:val="auto"/>
              </w:rPr>
            </w:pPr>
            <w:r>
              <w:rPr>
                <w:color w:val="auto"/>
                <w:spacing w:val="3"/>
              </w:rPr>
              <w:t>200</w:t>
            </w:r>
          </w:p>
        </w:tc>
        <w:tc>
          <w:tcPr>
            <w:tcW w:w="1285" w:type="dxa"/>
            <w:tcBorders>
              <w:right w:val="nil"/>
            </w:tcBorders>
            <w:shd w:val="clear" w:color="auto" w:fill="auto"/>
            <w:vAlign w:val="top"/>
          </w:tcPr>
          <w:p w14:paraId="0D43E7AD">
            <w:pPr>
              <w:pStyle w:val="19"/>
              <w:spacing w:before="154" w:line="116" w:lineRule="exact"/>
              <w:ind w:left="474" w:leftChars="0"/>
              <w:rPr>
                <w:rFonts w:ascii="Arial Unicode MS" w:hAnsi="Arial Unicode MS" w:eastAsia="Arial Unicode MS" w:cs="Arial Unicode MS"/>
                <w:snapToGrid w:val="0"/>
                <w:color w:val="auto"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color w:val="auto"/>
                <w:spacing w:val="10"/>
              </w:rPr>
              <w:t>——</w:t>
            </w:r>
          </w:p>
        </w:tc>
      </w:tr>
      <w:tr w14:paraId="2654F07C">
        <w:tblPrEx>
          <w:tblBorders>
            <w:top w:val="single" w:color="4BACC6" w:sz="6" w:space="0"/>
            <w:left w:val="single" w:color="4BACC6" w:sz="6" w:space="0"/>
            <w:bottom w:val="single" w:color="4BACC6" w:sz="6" w:space="0"/>
            <w:right w:val="single" w:color="4BACC6" w:sz="6" w:space="0"/>
            <w:insideH w:val="single" w:color="4BACC6" w:sz="6" w:space="0"/>
            <w:insideV w:val="single" w:color="4BACC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568" w:type="dxa"/>
            <w:tcBorders>
              <w:left w:val="nil"/>
            </w:tcBorders>
            <w:vAlign w:val="top"/>
          </w:tcPr>
          <w:p w14:paraId="4DD40C83">
            <w:pPr>
              <w:pStyle w:val="19"/>
              <w:spacing w:before="225" w:line="172" w:lineRule="auto"/>
              <w:ind w:left="212"/>
              <w:rPr>
                <w:color w:val="auto"/>
              </w:rPr>
            </w:pPr>
            <w:r>
              <w:rPr>
                <w:b/>
                <w:bCs/>
                <w:color w:val="auto"/>
                <w:spacing w:val="-4"/>
              </w:rPr>
              <w:t>15</w:t>
            </w:r>
          </w:p>
        </w:tc>
        <w:tc>
          <w:tcPr>
            <w:tcW w:w="1968" w:type="dxa"/>
            <w:vAlign w:val="top"/>
          </w:tcPr>
          <w:p w14:paraId="46E9D0AB">
            <w:pPr>
              <w:pStyle w:val="19"/>
              <w:spacing w:before="66" w:line="191" w:lineRule="auto"/>
              <w:ind w:left="181"/>
              <w:rPr>
                <w:color w:val="auto"/>
              </w:rPr>
            </w:pPr>
            <w:r>
              <w:rPr>
                <w:color w:val="auto"/>
                <w:spacing w:val="9"/>
              </w:rPr>
              <w:t>跨国公司研发总部入驻</w:t>
            </w:r>
          </w:p>
          <w:p w14:paraId="48BD687F">
            <w:pPr>
              <w:pStyle w:val="19"/>
              <w:spacing w:before="74" w:line="186" w:lineRule="auto"/>
              <w:ind w:left="821"/>
              <w:rPr>
                <w:color w:val="auto"/>
              </w:rPr>
            </w:pPr>
            <w:r>
              <w:rPr>
                <w:color w:val="auto"/>
                <w:spacing w:val="6"/>
              </w:rPr>
              <w:t>数量</w:t>
            </w:r>
          </w:p>
        </w:tc>
        <w:tc>
          <w:tcPr>
            <w:tcW w:w="932" w:type="dxa"/>
            <w:vAlign w:val="top"/>
          </w:tcPr>
          <w:p w14:paraId="34F5EACF">
            <w:pPr>
              <w:pStyle w:val="19"/>
              <w:spacing w:before="207" w:line="189" w:lineRule="auto"/>
              <w:ind w:left="382"/>
              <w:rPr>
                <w:color w:val="auto"/>
              </w:rPr>
            </w:pPr>
            <w:r>
              <w:rPr>
                <w:color w:val="auto"/>
                <w:spacing w:val="4"/>
              </w:rPr>
              <w:t>个</w:t>
            </w:r>
          </w:p>
        </w:tc>
        <w:tc>
          <w:tcPr>
            <w:tcW w:w="796" w:type="dxa"/>
            <w:vAlign w:val="top"/>
          </w:tcPr>
          <w:p w14:paraId="7519F5A6">
            <w:pPr>
              <w:pStyle w:val="19"/>
              <w:spacing w:before="225" w:line="172" w:lineRule="auto"/>
              <w:ind w:left="258"/>
              <w:rPr>
                <w:color w:val="auto"/>
              </w:rPr>
            </w:pPr>
            <w:r>
              <w:rPr>
                <w:color w:val="auto"/>
                <w:spacing w:val="4"/>
              </w:rPr>
              <w:t>411</w:t>
            </w:r>
          </w:p>
        </w:tc>
        <w:tc>
          <w:tcPr>
            <w:tcW w:w="865" w:type="dxa"/>
            <w:vAlign w:val="top"/>
          </w:tcPr>
          <w:p w14:paraId="025EADA4">
            <w:pPr>
              <w:pStyle w:val="19"/>
              <w:spacing w:before="225" w:line="172" w:lineRule="auto"/>
              <w:ind w:left="293"/>
              <w:rPr>
                <w:color w:val="auto"/>
              </w:rPr>
            </w:pPr>
            <w:r>
              <w:rPr>
                <w:color w:val="auto"/>
                <w:spacing w:val="4"/>
              </w:rPr>
              <w:t>426</w:t>
            </w:r>
          </w:p>
        </w:tc>
        <w:tc>
          <w:tcPr>
            <w:tcW w:w="950" w:type="dxa"/>
            <w:vAlign w:val="top"/>
          </w:tcPr>
          <w:p w14:paraId="5609948E">
            <w:pPr>
              <w:pStyle w:val="19"/>
              <w:spacing w:before="225" w:line="172" w:lineRule="auto"/>
              <w:ind w:left="336"/>
              <w:rPr>
                <w:color w:val="auto"/>
              </w:rPr>
            </w:pPr>
            <w:r>
              <w:rPr>
                <w:color w:val="auto"/>
                <w:spacing w:val="4"/>
              </w:rPr>
              <w:t>441</w:t>
            </w:r>
          </w:p>
        </w:tc>
        <w:tc>
          <w:tcPr>
            <w:tcW w:w="1285" w:type="dxa"/>
            <w:tcBorders>
              <w:right w:val="nil"/>
            </w:tcBorders>
            <w:shd w:val="clear" w:color="auto" w:fill="auto"/>
            <w:vAlign w:val="top"/>
          </w:tcPr>
          <w:p w14:paraId="5C801441">
            <w:pPr>
              <w:pStyle w:val="19"/>
              <w:spacing w:before="225" w:line="172" w:lineRule="auto"/>
              <w:ind w:left="509" w:leftChars="0"/>
              <w:rPr>
                <w:rFonts w:ascii="Arial Unicode MS" w:hAnsi="Arial Unicode MS" w:eastAsia="Arial Unicode MS" w:cs="Arial Unicode MS"/>
                <w:snapToGrid w:val="0"/>
                <w:color w:val="auto"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color w:val="auto"/>
                <w:spacing w:val="3"/>
              </w:rPr>
              <w:t>500</w:t>
            </w:r>
          </w:p>
        </w:tc>
      </w:tr>
      <w:tr w14:paraId="552B07F0">
        <w:tblPrEx>
          <w:tblBorders>
            <w:top w:val="single" w:color="4BACC6" w:sz="6" w:space="0"/>
            <w:left w:val="single" w:color="4BACC6" w:sz="6" w:space="0"/>
            <w:bottom w:val="single" w:color="4BACC6" w:sz="6" w:space="0"/>
            <w:right w:val="single" w:color="4BACC6" w:sz="6" w:space="0"/>
            <w:insideH w:val="single" w:color="4BACC6" w:sz="6" w:space="0"/>
            <w:insideV w:val="single" w:color="4BACC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568" w:type="dxa"/>
            <w:tcBorders>
              <w:left w:val="nil"/>
            </w:tcBorders>
            <w:vAlign w:val="top"/>
          </w:tcPr>
          <w:p w14:paraId="4178878E">
            <w:pPr>
              <w:pStyle w:val="19"/>
              <w:spacing w:before="209" w:line="172" w:lineRule="auto"/>
              <w:ind w:left="212"/>
              <w:rPr>
                <w:color w:val="auto"/>
              </w:rPr>
            </w:pPr>
            <w:r>
              <w:rPr>
                <w:b/>
                <w:bCs/>
                <w:color w:val="auto"/>
                <w:spacing w:val="-4"/>
              </w:rPr>
              <w:t>19</w:t>
            </w:r>
          </w:p>
        </w:tc>
        <w:tc>
          <w:tcPr>
            <w:tcW w:w="1968" w:type="dxa"/>
            <w:vAlign w:val="top"/>
          </w:tcPr>
          <w:p w14:paraId="3E433CEE">
            <w:pPr>
              <w:pStyle w:val="19"/>
              <w:spacing w:before="62" w:line="209" w:lineRule="auto"/>
              <w:ind w:left="205" w:right="152" w:hanging="51"/>
              <w:rPr>
                <w:color w:val="auto"/>
              </w:rPr>
            </w:pPr>
            <w:r>
              <w:rPr>
                <w:color w:val="auto"/>
                <w:spacing w:val="-1"/>
              </w:rPr>
              <w:t>产业基地内用于先进制造业发展的工业用地面积*</w:t>
            </w:r>
          </w:p>
        </w:tc>
        <w:tc>
          <w:tcPr>
            <w:tcW w:w="932" w:type="dxa"/>
            <w:vAlign w:val="top"/>
          </w:tcPr>
          <w:p w14:paraId="1D219F6B">
            <w:pPr>
              <w:pStyle w:val="19"/>
              <w:spacing w:before="193" w:line="188" w:lineRule="auto"/>
              <w:ind w:left="148"/>
              <w:rPr>
                <w:color w:val="auto"/>
              </w:rPr>
            </w:pPr>
            <w:r>
              <w:rPr>
                <w:color w:val="auto"/>
                <w:spacing w:val="6"/>
              </w:rPr>
              <w:t>平方公里</w:t>
            </w:r>
          </w:p>
        </w:tc>
        <w:tc>
          <w:tcPr>
            <w:tcW w:w="796" w:type="dxa"/>
            <w:vAlign w:val="top"/>
          </w:tcPr>
          <w:p w14:paraId="18FC1921">
            <w:pPr>
              <w:pStyle w:val="19"/>
              <w:spacing w:before="278" w:line="117" w:lineRule="exact"/>
              <w:ind w:left="229"/>
              <w:rPr>
                <w:color w:val="auto"/>
              </w:rPr>
            </w:pPr>
            <w:r>
              <w:rPr>
                <w:color w:val="auto"/>
                <w:spacing w:val="10"/>
              </w:rPr>
              <w:t>——</w:t>
            </w:r>
          </w:p>
        </w:tc>
        <w:tc>
          <w:tcPr>
            <w:tcW w:w="865" w:type="dxa"/>
            <w:vAlign w:val="top"/>
          </w:tcPr>
          <w:p w14:paraId="3623091E">
            <w:pPr>
              <w:pStyle w:val="19"/>
              <w:spacing w:before="209" w:line="172" w:lineRule="auto"/>
              <w:ind w:left="241"/>
              <w:rPr>
                <w:color w:val="auto"/>
              </w:rPr>
            </w:pPr>
            <w:r>
              <w:rPr>
                <w:color w:val="auto"/>
                <w:spacing w:val="1"/>
              </w:rPr>
              <w:t>155.4</w:t>
            </w:r>
          </w:p>
        </w:tc>
        <w:tc>
          <w:tcPr>
            <w:tcW w:w="950" w:type="dxa"/>
            <w:vAlign w:val="top"/>
          </w:tcPr>
          <w:p w14:paraId="6502BFF9">
            <w:pPr>
              <w:pStyle w:val="19"/>
              <w:spacing w:before="209" w:line="172" w:lineRule="auto"/>
              <w:ind w:left="284"/>
              <w:rPr>
                <w:color w:val="auto"/>
              </w:rPr>
            </w:pPr>
            <w:r>
              <w:rPr>
                <w:color w:val="auto"/>
                <w:spacing w:val="1"/>
              </w:rPr>
              <w:t>155.4</w:t>
            </w:r>
          </w:p>
        </w:tc>
        <w:tc>
          <w:tcPr>
            <w:tcW w:w="1285" w:type="dxa"/>
            <w:tcBorders>
              <w:right w:val="nil"/>
            </w:tcBorders>
            <w:shd w:val="clear" w:color="auto" w:fill="auto"/>
            <w:vAlign w:val="top"/>
          </w:tcPr>
          <w:p w14:paraId="3F2F3B68">
            <w:pPr>
              <w:pStyle w:val="19"/>
              <w:spacing w:before="209" w:line="172" w:lineRule="auto"/>
              <w:ind w:left="520" w:leftChars="0"/>
              <w:rPr>
                <w:rFonts w:ascii="Arial Unicode MS" w:hAnsi="Arial Unicode MS" w:eastAsia="Arial Unicode MS" w:cs="Arial Unicode MS"/>
                <w:snapToGrid w:val="0"/>
                <w:color w:val="auto"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color w:val="auto"/>
                <w:spacing w:val="-1"/>
              </w:rPr>
              <w:t>150</w:t>
            </w:r>
          </w:p>
        </w:tc>
      </w:tr>
      <w:tr w14:paraId="0B5C30D5">
        <w:tblPrEx>
          <w:tblBorders>
            <w:top w:val="single" w:color="4BACC6" w:sz="6" w:space="0"/>
            <w:left w:val="single" w:color="4BACC6" w:sz="6" w:space="0"/>
            <w:bottom w:val="single" w:color="4BACC6" w:sz="6" w:space="0"/>
            <w:right w:val="single" w:color="4BACC6" w:sz="6" w:space="0"/>
            <w:insideH w:val="single" w:color="4BACC6" w:sz="6" w:space="0"/>
            <w:insideV w:val="single" w:color="4BACC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568" w:type="dxa"/>
            <w:tcBorders>
              <w:left w:val="nil"/>
            </w:tcBorders>
            <w:vAlign w:val="top"/>
          </w:tcPr>
          <w:p w14:paraId="58825565">
            <w:pPr>
              <w:pStyle w:val="19"/>
              <w:spacing w:before="209" w:line="172" w:lineRule="auto"/>
              <w:ind w:left="199"/>
              <w:rPr>
                <w:color w:val="auto"/>
              </w:rPr>
            </w:pPr>
            <w:r>
              <w:rPr>
                <w:b/>
                <w:bCs/>
                <w:color w:val="auto"/>
                <w:spacing w:val="1"/>
              </w:rPr>
              <w:t>20</w:t>
            </w:r>
          </w:p>
        </w:tc>
        <w:tc>
          <w:tcPr>
            <w:tcW w:w="1968" w:type="dxa"/>
            <w:vAlign w:val="top"/>
          </w:tcPr>
          <w:p w14:paraId="05343AAA">
            <w:pPr>
              <w:pStyle w:val="19"/>
              <w:spacing w:before="57" w:line="211" w:lineRule="auto"/>
              <w:ind w:left="159" w:right="152" w:hanging="3"/>
              <w:rPr>
                <w:color w:val="auto"/>
              </w:rPr>
            </w:pPr>
            <w:r>
              <w:rPr>
                <w:color w:val="auto"/>
                <w:spacing w:val="-1"/>
              </w:rPr>
              <w:t>拥有全球影响的国际文化节庆和体育赛事品牌数量</w:t>
            </w:r>
          </w:p>
        </w:tc>
        <w:tc>
          <w:tcPr>
            <w:tcW w:w="932" w:type="dxa"/>
            <w:vAlign w:val="top"/>
          </w:tcPr>
          <w:p w14:paraId="343923EE">
            <w:pPr>
              <w:pStyle w:val="19"/>
              <w:spacing w:before="191" w:line="189" w:lineRule="auto"/>
              <w:ind w:left="382"/>
              <w:rPr>
                <w:color w:val="auto"/>
              </w:rPr>
            </w:pPr>
            <w:r>
              <w:rPr>
                <w:color w:val="auto"/>
                <w:spacing w:val="4"/>
              </w:rPr>
              <w:t>个</w:t>
            </w:r>
          </w:p>
        </w:tc>
        <w:tc>
          <w:tcPr>
            <w:tcW w:w="796" w:type="dxa"/>
            <w:vAlign w:val="top"/>
          </w:tcPr>
          <w:p w14:paraId="3926266E">
            <w:pPr>
              <w:pStyle w:val="19"/>
              <w:spacing w:before="209" w:line="172" w:lineRule="auto"/>
              <w:ind w:left="318"/>
              <w:rPr>
                <w:color w:val="auto"/>
              </w:rPr>
            </w:pPr>
            <w:r>
              <w:rPr>
                <w:color w:val="auto"/>
                <w:spacing w:val="-2"/>
              </w:rPr>
              <w:t>16</w:t>
            </w:r>
          </w:p>
        </w:tc>
        <w:tc>
          <w:tcPr>
            <w:tcW w:w="865" w:type="dxa"/>
            <w:vAlign w:val="top"/>
          </w:tcPr>
          <w:p w14:paraId="16CE4F76">
            <w:pPr>
              <w:pStyle w:val="19"/>
              <w:spacing w:before="209" w:line="172" w:lineRule="auto"/>
              <w:ind w:left="353"/>
              <w:rPr>
                <w:color w:val="auto"/>
              </w:rPr>
            </w:pPr>
            <w:r>
              <w:rPr>
                <w:color w:val="auto"/>
                <w:spacing w:val="-2"/>
              </w:rPr>
              <w:t>17</w:t>
            </w:r>
          </w:p>
        </w:tc>
        <w:tc>
          <w:tcPr>
            <w:tcW w:w="950" w:type="dxa"/>
            <w:vAlign w:val="top"/>
          </w:tcPr>
          <w:p w14:paraId="6DE289BF">
            <w:pPr>
              <w:pStyle w:val="19"/>
              <w:spacing w:before="209" w:line="172" w:lineRule="auto"/>
              <w:ind w:left="396"/>
              <w:rPr>
                <w:color w:val="auto"/>
              </w:rPr>
            </w:pPr>
            <w:r>
              <w:rPr>
                <w:color w:val="auto"/>
                <w:spacing w:val="-2"/>
              </w:rPr>
              <w:t>18</w:t>
            </w:r>
          </w:p>
        </w:tc>
        <w:tc>
          <w:tcPr>
            <w:tcW w:w="1285" w:type="dxa"/>
            <w:tcBorders>
              <w:right w:val="nil"/>
            </w:tcBorders>
            <w:shd w:val="clear" w:color="auto" w:fill="auto"/>
            <w:vAlign w:val="top"/>
          </w:tcPr>
          <w:p w14:paraId="6F053B8C">
            <w:pPr>
              <w:pStyle w:val="19"/>
              <w:spacing w:before="209" w:line="172" w:lineRule="auto"/>
              <w:ind w:left="509" w:leftChars="0"/>
              <w:rPr>
                <w:rFonts w:ascii="Arial Unicode MS" w:hAnsi="Arial Unicode MS" w:eastAsia="Arial Unicode MS" w:cs="Arial Unicode MS"/>
                <w:snapToGrid w:val="0"/>
                <w:color w:val="auto"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color w:val="auto"/>
                <w:spacing w:val="2"/>
              </w:rPr>
              <w:t>≥40</w:t>
            </w:r>
          </w:p>
        </w:tc>
      </w:tr>
    </w:tbl>
    <w:p w14:paraId="0F4720F3">
      <w:pPr>
        <w:tabs>
          <w:tab w:val="left" w:pos="8529"/>
        </w:tabs>
        <w:spacing w:before="253" w:line="277" w:lineRule="auto"/>
        <w:ind w:firstLine="452" w:firstLineChars="200"/>
        <w:jc w:val="both"/>
        <w:rPr>
          <w:rFonts w:ascii="华文细黑" w:hAnsi="华文细黑" w:eastAsia="华文细黑" w:cs="华文细黑"/>
          <w:color w:val="auto"/>
          <w:spacing w:val="-7"/>
          <w:sz w:val="24"/>
          <w:szCs w:val="24"/>
        </w:rPr>
      </w:pPr>
      <w:r>
        <w:rPr>
          <w:rFonts w:ascii="华文细黑" w:hAnsi="华文细黑" w:eastAsia="华文细黑" w:cs="华文细黑"/>
          <w:color w:val="auto"/>
          <w:spacing w:val="-7"/>
          <w:sz w:val="24"/>
          <w:szCs w:val="24"/>
        </w:rPr>
        <w:t>按照“</w:t>
      </w:r>
      <w:r>
        <w:rPr>
          <w:rFonts w:ascii="华文细黑" w:hAnsi="华文细黑" w:eastAsia="华文细黑" w:cs="华文细黑"/>
          <w:b/>
          <w:bCs/>
          <w:color w:val="auto"/>
          <w:spacing w:val="-7"/>
          <w:sz w:val="24"/>
          <w:szCs w:val="24"/>
        </w:rPr>
        <w:t>精准监测—复合诊断—综合施策</w:t>
      </w:r>
      <w:r>
        <w:rPr>
          <w:rFonts w:ascii="华文细黑" w:hAnsi="华文细黑" w:eastAsia="华文细黑" w:cs="华文细黑"/>
          <w:color w:val="auto"/>
          <w:spacing w:val="-7"/>
          <w:sz w:val="24"/>
          <w:szCs w:val="24"/>
        </w:rPr>
        <w:t>”的分析方法，对比“上海2035”中的97项监测指标（含40项约束性指标和57项预期性指标）的现状值与目标值，除部分未设定目标值的纯监测类指标和少量无法年度更新的指标，</w:t>
      </w:r>
      <w:bookmarkStart w:id="2" w:name="bookmark03"/>
      <w:bookmarkStart w:id="3" w:name="_GoBack"/>
      <w:bookmarkEnd w:id="2"/>
      <w:bookmarkEnd w:id="3"/>
      <w:r>
        <w:drawing>
          <wp:inline distT="0" distR="0" distB="0" distL="0">
            <wp:extent cx="5930900" cy="3657600"/>
            <wp:docPr id="0" name="Drawing 0" descr="D:\selfProject\mxr-multi-docs-toolkit\assets\img\img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:\selfProject\mxr-multi-docs-toolkit\assets\img\img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华文细黑" w:hAnsi="华文细黑" w:eastAsia="华文细黑" w:cs="华文细黑"/>
          <w:color w:val="auto"/>
          <w:spacing w:val="-7"/>
          <w:sz w:val="24"/>
          <w:szCs w:val="24"/>
        </w:rPr>
        <w:t>。</w:t>
      </w:r>
    </w:p>
    <w:p w14:paraId="7A27DF14"/>
    <w:sectPr>
      <w:headerReference r:id="rId7" w:type="default"/>
      <w:footerReference r:id="rId8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Monee" w:date="2025-08-29T16:17:19Z" w:initials="">
    <w:p w14:paraId="22F4D756">
      <w:pPr>
        <w:pStyle w:val="11"/>
      </w:pPr>
      <w:r>
        <w:annotationRef/>
      </w:r>
    </w:p>
  </w:comment>
  <w:comment w:id="1" w:author="Monee" w:date="2025-08-29T16:17:48Z" w:initials="">
    <w:p w14:paraId="22F3C25C">
      <w:pPr>
        <w:pStyle w:val="11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计算</w:t>
      </w:r>
      <w:r>
        <w:rPr>
          <w:rFonts w:ascii="华文细黑" w:hAnsi="华文细黑" w:eastAsia="华文细黑" w:cs="华文细黑"/>
          <w:b/>
          <w:bCs/>
          <w:color w:val="auto"/>
          <w:spacing w:val="-5"/>
          <w:sz w:val="24"/>
          <w:szCs w:val="24"/>
        </w:rPr>
        <w:t>运行正常型</w:t>
      </w:r>
      <w:r>
        <w:rPr>
          <w:rFonts w:hint="eastAsia" w:eastAsia="宋体"/>
          <w:lang w:val="en-US" w:eastAsia="zh-CN"/>
        </w:rPr>
        <w:t>指标个数</w:t>
      </w:r>
    </w:p>
  </w:comment>
  <w:comment w:id="2" w:author="Monee" w:date="2025-08-29T16:19:40Z" w:initials="">
    <w:p w14:paraId="02B879D5">
      <w:pPr>
        <w:pStyle w:val="11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统计相关指标值，形成表格，现状年（如2018）往前统计两年数据（如2017、2016），加上2035年目标</w:t>
      </w:r>
    </w:p>
    <w:p w14:paraId="36C2F0D8">
      <w:pPr>
        <w:pStyle w:val="11"/>
        <w:rPr>
          <w:rFonts w:hint="eastAsia" w:ascii="华文细黑" w:hAnsi="华文细黑" w:eastAsia="华文细黑" w:cs="华文细黑"/>
          <w:color w:val="auto"/>
          <w:spacing w:val="-1"/>
          <w:sz w:val="24"/>
          <w:szCs w:val="24"/>
          <w:lang w:val="en-US" w:eastAsia="zh-CN"/>
        </w:rPr>
      </w:pPr>
      <w:r>
        <w:rPr>
          <w:rFonts w:hint="eastAsia" w:eastAsia="宋体"/>
          <w:lang w:val="en-US" w:eastAsia="zh-CN"/>
        </w:rPr>
        <w:t>指标定义：1.</w:t>
      </w:r>
      <w:r>
        <w:rPr>
          <w:rFonts w:ascii="华文细黑" w:hAnsi="华文细黑" w:eastAsia="华文细黑" w:cs="华文细黑"/>
          <w:color w:val="auto"/>
          <w:spacing w:val="-8"/>
          <w:sz w:val="24"/>
          <w:szCs w:val="24"/>
        </w:rPr>
        <w:t>现状值</w:t>
      </w:r>
      <w:r>
        <w:rPr>
          <w:rFonts w:ascii="华文细黑" w:hAnsi="华文细黑" w:eastAsia="华文细黑" w:cs="华文细黑"/>
          <w:color w:val="auto"/>
          <w:spacing w:val="-1"/>
          <w:sz w:val="24"/>
          <w:szCs w:val="24"/>
        </w:rPr>
        <w:t>符合</w:t>
      </w:r>
      <w:r>
        <w:rPr>
          <w:rFonts w:hint="eastAsia" w:ascii="华文细黑" w:hAnsi="华文细黑" w:eastAsia="华文细黑" w:cs="华文细黑"/>
          <w:color w:val="auto"/>
          <w:spacing w:val="-1"/>
          <w:sz w:val="24"/>
          <w:szCs w:val="24"/>
          <w:lang w:val="en-US" w:eastAsia="zh-CN"/>
        </w:rPr>
        <w:t>2035年目标值</w:t>
      </w:r>
    </w:p>
    <w:p w14:paraId="4A850573">
      <w:pPr>
        <w:pStyle w:val="11"/>
        <w:rPr>
          <w:rFonts w:hint="default" w:eastAsia="华文细黑"/>
          <w:lang w:val="en-US" w:eastAsia="zh-CN"/>
        </w:rPr>
      </w:pPr>
      <w:r>
        <w:rPr>
          <w:rFonts w:hint="eastAsia" w:ascii="华文细黑" w:hAnsi="华文细黑" w:eastAsia="华文细黑" w:cs="华文细黑"/>
          <w:color w:val="auto"/>
          <w:spacing w:val="-1"/>
          <w:sz w:val="24"/>
          <w:szCs w:val="24"/>
          <w:lang w:val="en-US" w:eastAsia="zh-CN"/>
        </w:rPr>
        <w:t>2.指标呈持续下降/上升趋势---符合需降低/上升要求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2F4D756" w15:done="0"/>
  <w15:commentEx w15:paraId="22F3C25C" w15:done="0"/>
  <w15:commentEx w15:paraId="4A850573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A2420">
    <w:pPr>
      <w:spacing w:line="181" w:lineRule="auto"/>
      <w:ind w:left="575"/>
      <w:rPr>
        <w:rFonts w:ascii="华文细黑" w:hAnsi="华文细黑" w:eastAsia="华文细黑" w:cs="华文细黑"/>
        <w:sz w:val="18"/>
        <w:szCs w:val="18"/>
      </w:rPr>
    </w:pPr>
    <w:r>
      <w:rPr>
        <w:rFonts w:ascii="华文细黑" w:hAnsi="华文细黑" w:eastAsia="华文细黑" w:cs="华文细黑"/>
        <w:spacing w:val="-3"/>
        <w:sz w:val="18"/>
        <w:szCs w:val="18"/>
      </w:rPr>
      <w:t>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EA2A5B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CDE286"/>
    <w:multiLevelType w:val="multilevel"/>
    <w:tmpl w:val="ACCDE286"/>
    <w:lvl w:ilvl="0" w:tentative="0">
      <w:start w:val="1"/>
      <w:numFmt w:val="chineseCounting"/>
      <w:pStyle w:val="2"/>
      <w:suff w:val="nothing"/>
      <w:lvlText w:val="第%1章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isLgl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1">
    <w:nsid w:val="44B1F6AF"/>
    <w:multiLevelType w:val="multilevel"/>
    <w:tmpl w:val="44B1F6AF"/>
    <w:lvl w:ilvl="0" w:tentative="0">
      <w:start w:val="1"/>
      <w:numFmt w:val="chineseCounting"/>
      <w:lvlText w:val="第%1章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2">
    <w:nsid w:val="79784052"/>
    <w:multiLevelType w:val="multilevel"/>
    <w:tmpl w:val="79784052"/>
    <w:lvl w:ilvl="0" w:tentative="0">
      <w:start w:val="1"/>
      <w:numFmt w:val="upperLetter"/>
      <w:pStyle w:val="21"/>
      <w:lvlText w:val="附录%1"/>
      <w:lvlJc w:val="left"/>
      <w:pPr>
        <w:ind w:left="425" w:hanging="425"/>
      </w:pPr>
      <w:rPr>
        <w:rFonts w:hint="eastAsia" w:eastAsia="华文中宋"/>
        <w:b/>
        <w:sz w:val="36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onee">
    <w15:presenceInfo w15:providerId="WPS Office" w15:userId="31016775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17745"/>
    <w:rsid w:val="052676B9"/>
    <w:rsid w:val="089A2898"/>
    <w:rsid w:val="09473C55"/>
    <w:rsid w:val="0F470AD7"/>
    <w:rsid w:val="173C1094"/>
    <w:rsid w:val="1C897808"/>
    <w:rsid w:val="283A1CCB"/>
    <w:rsid w:val="2C624BCB"/>
    <w:rsid w:val="2CFA23DA"/>
    <w:rsid w:val="345C4D85"/>
    <w:rsid w:val="3568657A"/>
    <w:rsid w:val="47A95D87"/>
    <w:rsid w:val="5788762D"/>
    <w:rsid w:val="5F140436"/>
    <w:rsid w:val="61327BB3"/>
    <w:rsid w:val="63191582"/>
    <w:rsid w:val="77605E2C"/>
    <w:rsid w:val="7BE95D3C"/>
    <w:rsid w:val="7D3B5BB9"/>
    <w:rsid w:val="7D7D2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60" w:beforeLines="0" w:beforeAutospacing="0" w:after="20" w:afterLines="0" w:afterAutospacing="0" w:line="240" w:lineRule="auto"/>
      <w:ind w:left="425" w:hanging="425"/>
      <w:outlineLvl w:val="0"/>
    </w:pPr>
    <w:rPr>
      <w:rFonts w:eastAsia="微软雅黑" w:asciiTheme="minorAscii" w:hAnsiTheme="minorAscii"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240" w:lineRule="auto"/>
      <w:ind w:left="567" w:hanging="567"/>
      <w:outlineLvl w:val="1"/>
    </w:pPr>
    <w:rPr>
      <w:rFonts w:ascii="Arial" w:hAnsi="Arial" w:eastAsia="微软雅黑"/>
      <w:sz w:val="3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240" w:lineRule="auto"/>
      <w:ind w:left="709" w:hanging="709"/>
      <w:outlineLvl w:val="2"/>
    </w:pPr>
    <w:rPr>
      <w:rFonts w:ascii="Arial" w:hAnsi="Arial" w:eastAsia="微软雅黑"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2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2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8">
    <w:name w:val="Strong"/>
    <w:basedOn w:val="17"/>
    <w:qFormat/>
    <w:uiPriority w:val="0"/>
    <w:rPr>
      <w:b/>
    </w:rPr>
  </w:style>
  <w:style w:type="paragraph" w:customStyle="1" w:styleId="19">
    <w:name w:val="Table Text"/>
    <w:basedOn w:val="1"/>
    <w:semiHidden/>
    <w:qFormat/>
    <w:uiPriority w:val="0"/>
    <w:rPr>
      <w:rFonts w:ascii="Arial Unicode MS" w:hAnsi="Arial Unicode MS" w:eastAsia="Arial Unicode MS" w:cs="Arial Unicode MS"/>
      <w:sz w:val="15"/>
      <w:szCs w:val="15"/>
      <w:lang w:val="en-US" w:eastAsia="en-US" w:bidi="ar-SA"/>
    </w:rPr>
  </w:style>
  <w:style w:type="table" w:customStyle="1" w:styleId="2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1">
    <w:name w:val="附录标题"/>
    <w:basedOn w:val="22"/>
    <w:next w:val="23"/>
    <w:qFormat/>
    <w:uiPriority w:val="0"/>
    <w:pPr>
      <w:numPr>
        <w:ilvl w:val="0"/>
        <w:numId w:val="3"/>
      </w:numPr>
      <w:spacing w:before="100" w:beforeAutospacing="1" w:after="100" w:afterAutospacing="1" w:line="480" w:lineRule="auto"/>
      <w:ind w:firstLine="0" w:firstLineChars="0"/>
      <w:jc w:val="center"/>
      <w:outlineLvl w:val="0"/>
    </w:pPr>
    <w:rPr>
      <w:rFonts w:ascii="华文中宋" w:hAnsi="华文中宋" w:eastAsia="华文中宋"/>
      <w:b/>
      <w:bCs/>
      <w:sz w:val="36"/>
      <w:szCs w:val="36"/>
    </w:rPr>
  </w:style>
  <w:style w:type="paragraph" w:styleId="22">
    <w:name w:val="List Paragraph"/>
    <w:basedOn w:val="1"/>
    <w:unhideWhenUsed/>
    <w:qFormat/>
    <w:uiPriority w:val="34"/>
    <w:pPr>
      <w:ind w:firstLine="420"/>
    </w:pPr>
  </w:style>
  <w:style w:type="paragraph" w:customStyle="1" w:styleId="23">
    <w:name w:val="附件标题"/>
    <w:basedOn w:val="1"/>
    <w:next w:val="24"/>
    <w:qFormat/>
    <w:uiPriority w:val="0"/>
    <w:pPr>
      <w:ind w:left="200" w:hanging="200" w:hangingChars="200"/>
      <w:outlineLvl w:val="2"/>
    </w:pPr>
    <w:rPr>
      <w:rFonts w:eastAsia="楷体"/>
      <w:b/>
    </w:rPr>
  </w:style>
  <w:style w:type="paragraph" w:customStyle="1" w:styleId="24">
    <w:name w:val="内容居中"/>
    <w:basedOn w:val="1"/>
    <w:qFormat/>
    <w:uiPriority w:val="0"/>
    <w:pPr>
      <w:snapToGrid w:val="0"/>
      <w:spacing w:line="240" w:lineRule="auto"/>
      <w:ind w:firstLine="0" w:firstLineChars="0"/>
      <w:jc w:val="center"/>
    </w:p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numbering.xml" Type="http://schemas.openxmlformats.org/officeDocument/2006/relationships/numbering"/><Relationship Id="rId11" Target="fontTable.xml" Type="http://schemas.openxmlformats.org/officeDocument/2006/relationships/fontTable"/><Relationship Id="rId12" Target="people.xml" Type="http://schemas.microsoft.com/office/2011/relationships/people"/><Relationship Id="rId13" Target="media/image1.png" Type="http://schemas.openxmlformats.org/officeDocument/2006/relationships/image"/><Relationship Id="rId2" Target="settings.xml" Type="http://schemas.openxmlformats.org/officeDocument/2006/relationships/settings"/><Relationship Id="rId3" Target="comments.xml" Type="http://schemas.openxmlformats.org/officeDocument/2006/relationships/comments"/><Relationship Id="rId4" Target="commentsExtended.xml" Type="http://schemas.microsoft.com/office/2011/relationships/commentsExtended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539</Words>
  <Characters>665</Characters>
  <Lines>0</Lines>
  <Paragraphs>0</Paragraphs>
  <TotalTime>9</TotalTime>
  <ScaleCrop>false</ScaleCrop>
  <LinksUpToDate>false</LinksUpToDate>
  <CharactersWithSpaces>665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2025-05-19T05:00:00Z</dcterms:created>
  <dc:creator>buyooo</dc:creator>
  <cp:lastModifiedBy>最难不过坚持</cp:lastModifiedBy>
  <dcterms:modified xsi:type="dcterms:W3CDTF">2025-09-16T01:51:27Z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866A9875EAFE4316869696829AEFDEFB_12</vt:lpwstr>
  </property>
  <property fmtid="{D5CDD505-2E9C-101B-9397-08002B2CF9AE}" pid="4" name="KSOTemplateDocerSaveRecord">
    <vt:lpwstr>eyJoZGlkIjoiZDY1ZDFjYmViMGJjNjNmNzE0NWQ3Y2I2OWU0M2Q5OTkiLCJ1c2VySWQiOiI0NDQwODMzMzcifQ==</vt:lpwstr>
  </property>
</Properties>
</file>