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 w:before="0" w:after="160"/>
        <w:jc w:val="center"/>
        <w:rPr>
          <w:rFonts w:ascii="Times New Roman" w:hAnsi="Times New Roman"/>
          <w:b/>
          <w:b/>
          <w:color w:val="262626"/>
          <w:sz w:val="28"/>
          <w:szCs w:val="28"/>
          <w:lang w:val="ru-RU" w:eastAsia="en-US"/>
        </w:rPr>
      </w:pPr>
      <w:r>
        <w:rPr>
          <w:rFonts w:ascii="Times New Roman" w:hAnsi="Times New Roman"/>
          <w:b/>
          <w:color w:val="262626"/>
          <w:sz w:val="28"/>
          <w:szCs w:val="28"/>
          <w:lang w:val="ru-RU" w:eastAsia="en-US"/>
        </w:rPr>
        <w:t xml:space="preserve">ЗАДАНИЕ 2. Предпосылки и последствия петровских преобразований </w:t>
      </w:r>
    </w:p>
    <w:p>
      <w:pPr>
        <w:pStyle w:val="Normal"/>
        <w:spacing w:lineRule="auto" w:line="252" w:before="0" w:after="160"/>
        <w:jc w:val="both"/>
        <w:rPr>
          <w:rFonts w:ascii="Times New Roman" w:hAnsi="Times New Roman"/>
          <w:color w:val="262626"/>
          <w:sz w:val="28"/>
          <w:szCs w:val="28"/>
          <w:lang w:val="ru-RU" w:eastAsia="en-US"/>
        </w:rPr>
      </w:pPr>
      <w:r>
        <w:rPr>
          <w:rFonts w:ascii="Times New Roman" w:hAnsi="Times New Roman"/>
          <w:color w:val="262626"/>
          <w:sz w:val="28"/>
          <w:szCs w:val="28"/>
          <w:lang w:val="ru-RU" w:eastAsia="en-US"/>
        </w:rPr>
        <w:t>Заполните предложенную таблицу, раскрывающую предпосылки и последствия петровских преобразований.</w:t>
      </w:r>
    </w:p>
    <w:p>
      <w:pPr>
        <w:pStyle w:val="Normal"/>
        <w:spacing w:lineRule="auto" w:line="252" w:before="0" w:after="160"/>
        <w:jc w:val="both"/>
        <w:rPr>
          <w:rFonts w:ascii="Times New Roman" w:hAnsi="Times New Roman"/>
          <w:color w:val="262626"/>
          <w:sz w:val="28"/>
          <w:szCs w:val="28"/>
          <w:lang w:val="ru-RU" w:eastAsia="en-US"/>
        </w:rPr>
      </w:pPr>
      <w:r>
        <w:rPr>
          <w:rFonts w:ascii="Times New Roman" w:hAnsi="Times New Roman"/>
          <w:color w:val="262626"/>
          <w:sz w:val="28"/>
          <w:szCs w:val="28"/>
          <w:lang w:val="ru-RU" w:eastAsia="en-US"/>
        </w:rPr>
        <w:t>При выполнении работы можете пользоваться любыми доступными источниками информации.</w:t>
      </w:r>
    </w:p>
    <w:p>
      <w:pPr>
        <w:pStyle w:val="Normal"/>
        <w:spacing w:lineRule="auto" w:line="252" w:before="0" w:after="160"/>
        <w:jc w:val="center"/>
        <w:rPr>
          <w:rFonts w:ascii="Times New Roman" w:hAnsi="Times New Roman"/>
          <w:b/>
          <w:b/>
          <w:bCs/>
          <w:color w:val="262626"/>
          <w:sz w:val="28"/>
          <w:szCs w:val="28"/>
          <w:lang w:val="ru-RU" w:eastAsia="en-US"/>
        </w:rPr>
      </w:pPr>
      <w:r>
        <w:rPr>
          <w:rFonts w:ascii="Times New Roman" w:hAnsi="Times New Roman"/>
          <w:b/>
          <w:bCs/>
          <w:color w:val="262626"/>
          <w:sz w:val="28"/>
          <w:szCs w:val="28"/>
          <w:lang w:val="ru-RU" w:eastAsia="en-US"/>
        </w:rPr>
        <w:t>Предпосылки и последствия петровских преобразований</w:t>
      </w:r>
    </w:p>
    <w:tbl>
      <w:tblPr>
        <w:tblStyle w:val="a5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610"/>
        <w:gridCol w:w="2049"/>
        <w:gridCol w:w="2750"/>
      </w:tblGrid>
      <w:tr>
        <w:trPr>
          <w:trHeight w:val="322" w:hRule="atLeast"/>
        </w:trPr>
        <w:tc>
          <w:tcPr>
            <w:tcW w:w="216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Сфера преобразований</w:t>
            </w:r>
          </w:p>
        </w:tc>
        <w:tc>
          <w:tcPr>
            <w:tcW w:w="261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Предпосылки</w:t>
            </w:r>
          </w:p>
        </w:tc>
        <w:tc>
          <w:tcPr>
            <w:tcW w:w="479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Последствия</w:t>
            </w:r>
          </w:p>
        </w:tc>
      </w:tr>
      <w:tr>
        <w:trPr>
          <w:trHeight w:val="322" w:hRule="atLeast"/>
        </w:trPr>
        <w:tc>
          <w:tcPr>
            <w:tcW w:w="216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2"/>
                <w:szCs w:val="28"/>
                <w:lang w:val="ru-RU" w:bidi="ar-SA"/>
              </w:rPr>
            </w:r>
          </w:p>
        </w:tc>
        <w:tc>
          <w:tcPr>
            <w:tcW w:w="261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2"/>
                <w:szCs w:val="28"/>
                <w:lang w:val="ru-RU" w:bidi="ar-SA"/>
              </w:rPr>
            </w:r>
          </w:p>
        </w:tc>
        <w:tc>
          <w:tcPr>
            <w:tcW w:w="20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Положительные</w:t>
            </w:r>
          </w:p>
        </w:tc>
        <w:tc>
          <w:tcPr>
            <w:tcW w:w="27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Отрицательные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Центральное государственное управление</w:t>
            </w:r>
          </w:p>
        </w:tc>
        <w:tc>
          <w:tcPr>
            <w:tcW w:w="26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Для победы в войне со Швецией необходим был новый государственный аппарат; стремление Петра к абсолютизации власти.</w:t>
            </w:r>
          </w:p>
        </w:tc>
        <w:tc>
          <w:tcPr>
            <w:tcW w:w="20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Всматриваясь в различия между коллегиями и старыми приказами, необходимо отметить, что система коллегий централизовала власть, более четко и правильно организовала аппарат управления, устранила прежнюю путаницу между ведомствами, а также распространила свою компетенцию на всю территорию страны.</w:t>
            </w:r>
          </w:p>
        </w:tc>
        <w:tc>
          <w:tcPr>
            <w:tcW w:w="27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 xml:space="preserve">Существенно возросло количество </w:t>
            </w:r>
            <w:bookmarkStart w:id="0" w:name="_GoBack"/>
            <w:bookmarkEnd w:id="0"/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чиновников и численность бюрократического аппарата.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Местное управление</w:t>
            </w:r>
          </w:p>
        </w:tc>
        <w:tc>
          <w:tcPr>
            <w:tcW w:w="26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Устаревшая система местного самоуправления мешает стране  развиваться.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Новый способ устройства власти должен был помочь предотвратить бунты и прекратить бегства солдат и крестьян.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Посадское население было поделено на две гильдии: в первую вошли верхи посада, богатые купцы, ремесленники, горожане интеллигентных профессий; во вторую гильдию включены мелкие лавочники и ремесленники.</w:t>
              <w:br/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2"/>
                <w:szCs w:val="28"/>
                <w:lang w:val="ru-RU" w:bidi="ar-SA"/>
              </w:rPr>
            </w:r>
          </w:p>
        </w:tc>
        <w:tc>
          <w:tcPr>
            <w:tcW w:w="20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В XVII веке страна была разделена на 150 уездов, каждым уездом управлял воевода, который непосредственно сносился с центром.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2"/>
                <w:szCs w:val="28"/>
                <w:lang w:val="ru-RU" w:bidi="ar-SA"/>
              </w:rPr>
            </w:r>
          </w:p>
        </w:tc>
        <w:tc>
          <w:tcPr>
            <w:tcW w:w="27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Попытка царя насадить в России городское самоуправление и цеховой строй не увенчалась успехом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Промышленность и торговля</w:t>
            </w:r>
          </w:p>
        </w:tc>
        <w:tc>
          <w:tcPr>
            <w:tcW w:w="26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Сильное отставание России от стран Европы.</w:t>
            </w:r>
          </w:p>
        </w:tc>
        <w:tc>
          <w:tcPr>
            <w:tcW w:w="20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Создано 200 фабрик и заводов по самым разнообразным отраслям промышленности. Некоторые уже существовавшие заводы были расширены. К концу Петровского царствования действовало 221 промышленное предприятие. С развитием промышленности расширялась внутренняя и внешняя торговля, большая прибыль шла в государственную казну.</w:t>
            </w:r>
          </w:p>
        </w:tc>
        <w:tc>
          <w:tcPr>
            <w:tcW w:w="27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Насаждаемая государством промышленность была крепостнической, что тормозило развитие буржуазных отношений в стране.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Сельское хозяйство</w:t>
            </w:r>
          </w:p>
        </w:tc>
        <w:tc>
          <w:tcPr>
            <w:tcW w:w="26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Существовала необходимость в проведении специализации районов по производству разной продукции.</w:t>
            </w:r>
          </w:p>
        </w:tc>
        <w:tc>
          <w:tcPr>
            <w:tcW w:w="20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Существовал технологический прогресс: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сэкономлен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крестьянский труд,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(замена литовской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косы серпом),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внедрение новых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культур, пород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скота.</w:t>
            </w:r>
          </w:p>
        </w:tc>
        <w:tc>
          <w:tcPr>
            <w:tcW w:w="27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Экстенсивный путь развития: сельское хозяйство при Петре развивалось медленно. Значительно увеличились издержки на сельское хозяйство.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Налогообложение</w:t>
            </w:r>
          </w:p>
        </w:tc>
        <w:tc>
          <w:tcPr>
            <w:tcW w:w="26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 xml:space="preserve">Содержание регулярной армии и нового государственного аппарата требовало огромных средств, для привлечения которых была проведена налоговая реформа. </w:t>
              <w:br/>
              <w:t>Кроме того необходимы были средства для построения флота, модернизации промышленности, новых фабрик.</w:t>
            </w:r>
          </w:p>
        </w:tc>
        <w:tc>
          <w:tcPr>
            <w:tcW w:w="20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 xml:space="preserve">Принцип взимания основного налога с «подворного» изменён на «подушный». </w:t>
              <w:br/>
              <w:t>Организовано снабжение армии и флота, дополнительные средства направлены также и на финансирование промышленности.</w:t>
            </w:r>
          </w:p>
        </w:tc>
        <w:tc>
          <w:tcPr>
            <w:tcW w:w="27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С введением подушной подати ухудшилось юридическое положение крепостного крестьянства вследствие слияния его с холопами в единое сословие помещичьих «подданных». Тяготы крестьян возросли в тСри раза.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Введено большое количество косвенных налогов, что вызвало рост социальной напряжённости.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Народ от государственных тягот уходил в казаки или бежал в Польшу. Побеги при Петре приняли большие размеры.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Армия и флот</w:t>
            </w:r>
          </w:p>
        </w:tc>
        <w:tc>
          <w:tcPr>
            <w:tcW w:w="26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Сложившаяся ситуация заставила Петра осознать необходимость увеличения и перевооружения армии.</w:t>
              <w:br/>
              <w:t>Стремление выйти к морским побережьям – необходимость хорошего оснащения армии и создания флота.</w:t>
            </w:r>
          </w:p>
        </w:tc>
        <w:tc>
          <w:tcPr>
            <w:tcW w:w="20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Основу новой армии стали составлять регулярные пехотные и кавалерийские полки с единообразным штатом, вооружением и обмундированием. Боевая подготовка проводилась по общеармейским уставам. В армии при Петре I впервые использовали качественно новое оружие, когда к ружью был примкнут штык, что значительно усилило эффективность пехоты в бою,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В целом военная реформа Петра, несмотря на ее кастовость и жесткость, объективно способствовала укреплению вооруженных сил, повышению международного авторитета Российской империи.</w:t>
            </w:r>
          </w:p>
        </w:tc>
        <w:tc>
          <w:tcPr>
            <w:tcW w:w="27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Расходы на армию и флот истощили экономику.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Внешняя политика</w:t>
            </w:r>
          </w:p>
        </w:tc>
        <w:tc>
          <w:tcPr>
            <w:tcW w:w="26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Внешняя политика России в первой четверти XVIII века была нацелена на решение трех главных задач: воссоединение русского народа с украинским и белорусским народами, завоевание выхода к Черному и Балтийскому морям и обеспечение безопасности южной границы страны от турецко-крымской экспансии.</w:t>
            </w:r>
          </w:p>
        </w:tc>
        <w:tc>
          <w:tcPr>
            <w:tcW w:w="20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Использовались европейские технологии и специалисты, что позволило начать интенсивное развитие российской промышленности для снабжения армии и флота.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Победа в Северной войне со Швецией — получен доступ к Балтийскому морю, присоединены Ингрия, Карелия, Эстляндия, Лифляндия.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Расширено влияние в Закавказье и на южном побережье Каспийского моря — присоединены Дербент, Баку, Решт, провинции Ширван, Гилян, Мазендеран и Астрабад.</w:t>
            </w:r>
          </w:p>
        </w:tc>
        <w:tc>
          <w:tcPr>
            <w:tcW w:w="27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Войны истощили экономику страны и серьезно подорвали численность населения.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Россия не смогла закрепиться на побережье Азовского моря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Сословная политика</w:t>
            </w:r>
          </w:p>
        </w:tc>
        <w:tc>
          <w:tcPr>
            <w:tcW w:w="26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Пётр I стремился к экономической и политической стабильности дворянства, для этого было необходимо его возвысить.</w:t>
            </w:r>
          </w:p>
        </w:tc>
        <w:tc>
          <w:tcPr>
            <w:tcW w:w="20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«Табель о рангах», закрепившая принцип продвижения по служебной лестнице в зависимости от личных достоинств, безусловно, была шагом вперед от феодализма к созданию основ буржуазного государства. Вместе с тем, «Табель о рангах» защищала интересы господствующих классов. Петр уничтожил существовавшее в ту эпоху внутри господствующего класса деление на окольничих, бояр, дворян, на наследственно владевшее землей боярство и на служилое дворянство. Все стали дворянами.</w:t>
            </w:r>
          </w:p>
        </w:tc>
        <w:tc>
          <w:tcPr>
            <w:tcW w:w="27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Многим дворянам эти преобразования были не по душе. Они тяготились службой, не хотели учиться, не понимали преобразований монарха.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Холопы сначала были переписаны, а затем внесены в подушный оклад. Утратив признак бестягловости, холопы стали разновидностью крепостных крестьян и потеряли право на получение свободы.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Духовенство было ограничено в правах и численности, а горожане поделены на группы и гильдии.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Конфессиональная политика</w:t>
            </w:r>
          </w:p>
        </w:tc>
        <w:tc>
          <w:tcPr>
            <w:tcW w:w="26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Церковная реформа должна была сыграть большую роль в утверждении абсолютизма.</w:t>
            </w:r>
          </w:p>
        </w:tc>
        <w:tc>
          <w:tcPr>
            <w:tcW w:w="20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Церковная реформа означала ликвидацию самостоятельной политической роли церкви. Она становилась составной частью государственного аппарата.</w:t>
            </w:r>
          </w:p>
        </w:tc>
        <w:tc>
          <w:tcPr>
            <w:tcW w:w="27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Церковь теряет финансовую и административную автономию, снижается количество монахов и монастырей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Наука и образование</w:t>
            </w:r>
          </w:p>
        </w:tc>
        <w:tc>
          <w:tcPr>
            <w:tcW w:w="26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Необходимо было развитие светской культуры, просвещения, изменения в быту и нравах. Кроме того, для создания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боеспособной армии и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флота требовались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новые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образовательные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учреждения, которые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смогли бы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подготовить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квалифицированные войска.</w:t>
            </w:r>
          </w:p>
        </w:tc>
        <w:tc>
          <w:tcPr>
            <w:tcW w:w="20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При Петре получают развитие начальные «цифирные» школы и специальные учебные заведения. Широко издавались учебные пособия, учебники, словари, буквари. Появляется первая печатная газета в России — «Ведомости», вводится гражданский шрифт, арабские цифры сменили старые буквенные обозначения. Логическим итогом всех этих мероприятий было основание в 1725 году Академии наук в Петербурге, а при ней — университета и гимназии.</w:t>
            </w:r>
          </w:p>
        </w:tc>
        <w:tc>
          <w:tcPr>
            <w:tcW w:w="27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Дворяне были обязаны учиться, что не всем пришлось по душе.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Искусство</w:t>
            </w:r>
          </w:p>
        </w:tc>
        <w:tc>
          <w:tcPr>
            <w:tcW w:w="26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Петр I стремился сломать сложившиеся русские традиции для установления европейских ценностей.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Великое посольство Петра I в Европу позволило ему ознакомиться с европейскими порядками и проникнуться зарубежной культурой.</w:t>
            </w:r>
          </w:p>
        </w:tc>
        <w:tc>
          <w:tcPr>
            <w:tcW w:w="20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При Петре I  создан масштабный музей редкостей — Кунсткамера.</w:t>
            </w:r>
          </w:p>
        </w:tc>
        <w:tc>
          <w:tcPr>
            <w:tcW w:w="27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Культура дворянства претерпела существенные изменения, различия между крестьянами и их хозяевами-помещиками увеличились.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Быт</w:t>
            </w:r>
          </w:p>
        </w:tc>
        <w:tc>
          <w:tcPr>
            <w:tcW w:w="26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Предпосылками изменения быта служило заимствование европейской культуры.</w:t>
            </w:r>
          </w:p>
        </w:tc>
        <w:tc>
          <w:tcPr>
            <w:tcW w:w="20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Отдельные представители русского общества достаточно глубоко проникались европейским духом, но большинство на первых порах могло воспринимать только внешние стороны чуждой культуры, хотя это тоже своего рода победа «светского».</w:t>
            </w:r>
          </w:p>
        </w:tc>
        <w:tc>
          <w:tcPr>
            <w:tcW w:w="27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Генофонд и общее здоровье людей пострадали от разрешения на продажу табака.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sectPr>
      <w:type w:val="nextPage"/>
      <w:pgSz w:w="11906" w:h="16838"/>
      <w:pgMar w:left="1701" w:right="851" w:gutter="0" w:header="0" w:top="709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56ab7"/>
    <w:pPr>
      <w:widowControl/>
      <w:bidi w:val="0"/>
      <w:spacing w:lineRule="auto" w:line="240" w:before="0" w:after="0"/>
      <w:jc w:val="left"/>
    </w:pPr>
    <w:rPr>
      <w:rFonts w:ascii="Helvetica" w:hAnsi="Helvetica" w:eastAsia="Calibri" w:cs="Times New Roman" w:eastAsiaTheme="minorHAnsi"/>
      <w:color w:val="auto"/>
      <w:kern w:val="0"/>
      <w:sz w:val="22"/>
      <w:szCs w:val="24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356b4b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01ec4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b0e7d"/>
    <w:pPr>
      <w:spacing w:lineRule="auto" w:line="276" w:before="0" w:after="200"/>
      <w:ind w:left="720" w:hanging="0"/>
      <w:contextualSpacing/>
    </w:pPr>
    <w:rPr>
      <w:rFonts w:ascii="Calibri" w:hAnsi="Calibri"/>
      <w:szCs w:val="22"/>
      <w:lang w:val="ru-RU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3b46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LibreOffice/7.2.5.2$Linux_X86_64 LibreOffice_project/20$Build-2</Application>
  <AppVersion>15.0000</AppVersion>
  <Pages>9</Pages>
  <Words>956</Words>
  <Characters>6827</Characters>
  <CharactersWithSpaces>7712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2021-09-28T10:39:00Z</dcterms:created>
  <dc:creator>Пользователь Windows</dc:creator>
  <dc:description/>
  <dc:language>en-US</dc:language>
  <cp:lastModifiedBy/>
  <dcterms:modified xsi:type="dcterms:W3CDTF">2022-03-09T20:04:54Z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