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76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Лабораторная работа №5</w:t>
      </w:r>
    </w:p>
    <w:p w:rsidR="00000000" w:rsidDel="00000000" w:rsidP="00000000" w:rsidRDefault="00000000" w:rsidRPr="00000000" w14:paraId="00000002">
      <w:pPr>
        <w:spacing w:line="276" w:lineRule="auto"/>
        <w:jc w:val="right"/>
        <w:rPr/>
      </w:pPr>
      <w:r w:rsidDel="00000000" w:rsidR="00000000" w:rsidRPr="00000000">
        <w:rPr>
          <w:i w:val="1"/>
          <w:rtl w:val="0"/>
        </w:rPr>
        <w:t xml:space="preserve">Выполнил Шардт М. 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Одно отношение, включающее в себя все атрибуты области: </w:t>
        <w:br w:type="textWrapping"/>
      </w:r>
      <w:r w:rsidDel="00000000" w:rsidR="00000000" w:rsidRPr="00000000">
        <w:rPr/>
        <w:drawing>
          <wp:inline distB="114300" distT="114300" distL="114300" distR="114300">
            <wp:extent cx="1933575" cy="26670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266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Отношения, приведенные до 3НФ:</w:t>
        <w:br w:type="textWrapping"/>
      </w:r>
      <w:r w:rsidDel="00000000" w:rsidR="00000000" w:rsidRPr="00000000">
        <w:rPr/>
        <w:drawing>
          <wp:inline distB="114300" distT="114300" distL="114300" distR="114300">
            <wp:extent cx="4257675" cy="379095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3790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В данном случае таблица разделена на 4 отношения: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Производитель (Manufacturer), содержащий имя и веб-сайт. Имя производителя - это его первичный ключ.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Модель жесткого диска (HardDriveModel), содержащий модель, объем диска, скорость вращения и используемый интерфейс. Также она имеет внешний ключ на производителя. Производитель и поле “Модель” является составным первичным ключом модели.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Экземпляр жесткого диска (HardDrive) содержит серийный номер и дату приобретения. Внешний ключ “Модель” указывает на модель экземпляра. Серийный номер экземпляра - это его первичный ключ.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История поломок жесткий дисков (BreakHistory) представляет собой таблицу сломанных дисков, у каждого есть дата поломки и комментарий. Внешний ключ “HardDrive” указывает на серийный ключ сломанного экземпляра. Поле “Id” является первичным ключом.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8"/>
        <w:szCs w:val="28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