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xy5817lw1313" w:id="0"/>
      <w:bookmarkEnd w:id="0"/>
      <w:r w:rsidDel="00000000" w:rsidR="00000000" w:rsidRPr="00000000">
        <w:rPr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Выполнил: Шардт М.А.</w:t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>
          <w:i w:val="1"/>
          <w:rtl w:val="0"/>
        </w:rPr>
        <w:t xml:space="preserve">Вариант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Zero Flag: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Sign Flag: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Overflow Flag: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Условный переход: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566.9291338582675" w:hanging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Вывод двузначного шестнадцатеричного числа: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spacing w:line="276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  <w:t xml:space="preserve">Вывод четырехзначных шестнадцатеричных чисел: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14750" cy="1857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571875" cy="571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spacing w:line="276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  <w:t xml:space="preserve">Процедура вывода двузначного числа: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514725" cy="1143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spacing w:line="276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spacing w:line="276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  <w:t xml:space="preserve">Процедура вывода шестнадцатеричной цифры: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543300" cy="1143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spacing w:line="276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spacing w:line="276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  <w:t xml:space="preserve">Результат работы программы: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pStyle w:val="Heading1"/>
        <w:pageBreakBefore w:val="1"/>
        <w:spacing w:line="276" w:lineRule="auto"/>
        <w:rPr/>
      </w:pPr>
      <w:bookmarkStart w:colFirst="0" w:colLast="0" w:name="_atqj7nyoeltb" w:id="1"/>
      <w:bookmarkEnd w:id="1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Полный код программы с комментариями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-E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(CX) =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-E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308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(BP) =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Начальные значения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67FE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bp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BA59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Копируем значение счетчика в другой регистр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Вывод заготовленной строки на экран (E 300)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ah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0300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Вызываем процедуру для вывода двузначного шестнадцатеричного числа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Выводим оставшиеся две цифры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bh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Вывод заготовленной строки на экран (E 309)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ah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309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То же самое для другого регистра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bp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bh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Завершаем программу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Выделение старшей цифры в 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Обязательно по адресу 150!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bh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shr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Выделение младшей цифры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bh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0f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Возвращаемся из процедуры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Вывод одного символа на экран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Обязательно по адресу 200!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ja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020a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ah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